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B1" w:rsidRDefault="007B7FB1" w:rsidP="007B7FB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</w:pPr>
    </w:p>
    <w:p w:rsidR="007B7FB1" w:rsidRDefault="007B7FB1" w:rsidP="007B7FB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</w:pPr>
    </w:p>
    <w:p w:rsidR="007B7FB1" w:rsidRPr="007B7FB1" w:rsidRDefault="007B7FB1" w:rsidP="007B7FB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r w:rsidRPr="007B7FB1"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>Inventário</w:t>
      </w:r>
      <w:r w:rsidRPr="007B7FB1">
        <w:rPr>
          <w:rFonts w:ascii="Arial" w:hAnsi="Arial" w:cs="Arial"/>
          <w:b/>
          <w:color w:val="404040" w:themeColor="text1" w:themeTint="BF"/>
          <w:sz w:val="20"/>
          <w:szCs w:val="20"/>
        </w:rPr>
        <w:t>:</w:t>
      </w:r>
      <w:r w:rsidRPr="007B7FB1">
        <w:rPr>
          <w:rFonts w:ascii="Arial" w:hAnsi="Arial" w:cs="Arial"/>
          <w:color w:val="404040" w:themeColor="text1" w:themeTint="BF"/>
          <w:sz w:val="20"/>
          <w:szCs w:val="20"/>
        </w:rPr>
        <w:t xml:space="preserve"> é o processo pelo qual se faz um levantamento de todos os bens de determinada pessoa após sua morte. Com o falecimento do titular do imóvel, procede-se o inventário para partilhar o bem entre seus sucessores (cônjuge/companheiro/ herdeiros).  Existem dois tipos de inventário: </w:t>
      </w:r>
    </w:p>
    <w:p w:rsidR="007B7FB1" w:rsidRPr="007B7FB1" w:rsidRDefault="007B7FB1" w:rsidP="007B7FB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B7FB1" w:rsidRPr="007B7FB1" w:rsidRDefault="007B7FB1" w:rsidP="007B7FB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r w:rsidRPr="007B7FB1">
        <w:rPr>
          <w:rFonts w:ascii="Arial" w:hAnsi="Arial" w:cs="Arial"/>
          <w:color w:val="404040" w:themeColor="text1" w:themeTint="BF"/>
          <w:sz w:val="20"/>
          <w:szCs w:val="20"/>
          <w:u w:val="single"/>
        </w:rPr>
        <w:t>Judicial</w:t>
      </w:r>
      <w:r w:rsidRPr="007B7FB1">
        <w:rPr>
          <w:rFonts w:ascii="Arial" w:hAnsi="Arial" w:cs="Arial"/>
          <w:color w:val="404040" w:themeColor="text1" w:themeTint="BF"/>
          <w:sz w:val="20"/>
          <w:szCs w:val="20"/>
        </w:rPr>
        <w:t>: feito junto ao Poder Judiciário. Após a homologação da partilha, apresentar:</w:t>
      </w:r>
    </w:p>
    <w:p w:rsidR="007B7FB1" w:rsidRDefault="007B7FB1" w:rsidP="007B7FB1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r w:rsidRPr="007B7FB1">
        <w:rPr>
          <w:rFonts w:ascii="Arial" w:hAnsi="Arial" w:cs="Arial"/>
          <w:color w:val="404040" w:themeColor="text1" w:themeTint="BF"/>
          <w:sz w:val="20"/>
          <w:szCs w:val="20"/>
        </w:rPr>
        <w:t>Formal de Partilha ou Carta de Adjudicação (título original, expedido pela secretaria da Vara responsável, com folhas de rosto e de encerramento, sendo todas numeradas e rubricadas). (Artigos 655 e 659 do CPC). Caso a certidão de óbito não esteja integrando os autos do processo, esta deve ser apresentada.</w:t>
      </w:r>
    </w:p>
    <w:p w:rsidR="007B7FB1" w:rsidRPr="007B7FB1" w:rsidRDefault="007B7FB1" w:rsidP="007B7FB1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B7FB1" w:rsidRPr="007B7FB1" w:rsidRDefault="007B7FB1" w:rsidP="007B7FB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r w:rsidRPr="007B7FB1">
        <w:rPr>
          <w:rFonts w:ascii="Arial" w:hAnsi="Arial" w:cs="Arial"/>
          <w:color w:val="404040" w:themeColor="text1" w:themeTint="BF"/>
          <w:sz w:val="20"/>
          <w:szCs w:val="20"/>
          <w:u w:val="single"/>
        </w:rPr>
        <w:t>Extrajudicial</w:t>
      </w:r>
      <w:r w:rsidRPr="007B7FB1">
        <w:rPr>
          <w:rFonts w:ascii="Arial" w:hAnsi="Arial" w:cs="Arial"/>
          <w:color w:val="404040" w:themeColor="text1" w:themeTint="BF"/>
          <w:sz w:val="20"/>
          <w:szCs w:val="20"/>
        </w:rPr>
        <w:t>: escritura pública lavrada junto ao Cartório de Notas. Forma mais célere, contudo, devem ser observados alguns requisitos nestes casos. Todas as partes (meeiro e herdeiros) devem ser capazes para o ato, os herdeiros maiores ou emancipados e não pode existir testamento válido. (Artigo 185 do Provimento 260/CGJ/2013). Para o registro apresentar:</w:t>
      </w:r>
    </w:p>
    <w:p w:rsidR="007B7FB1" w:rsidRPr="007B7FB1" w:rsidRDefault="007B7FB1" w:rsidP="007B7FB1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r w:rsidRPr="007B7FB1">
        <w:rPr>
          <w:rFonts w:ascii="Arial" w:hAnsi="Arial" w:cs="Arial"/>
          <w:color w:val="404040" w:themeColor="text1" w:themeTint="BF"/>
          <w:sz w:val="20"/>
          <w:szCs w:val="20"/>
        </w:rPr>
        <w:t>Escritura Pública de Inventário (acompanhada da escritura pública de cessão de direitos hereditários, caso tenha ocorrido cessão);</w:t>
      </w:r>
    </w:p>
    <w:p w:rsidR="007B7FB1" w:rsidRPr="007B7FB1" w:rsidRDefault="007B7FB1" w:rsidP="007B7FB1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r w:rsidRPr="007B7FB1">
        <w:rPr>
          <w:rFonts w:ascii="Arial" w:hAnsi="Arial" w:cs="Arial"/>
          <w:color w:val="404040" w:themeColor="text1" w:themeTint="BF"/>
          <w:sz w:val="20"/>
          <w:szCs w:val="20"/>
        </w:rPr>
        <w:t>Cópia autenticada da certidão de óbito.</w:t>
      </w:r>
    </w:p>
    <w:p w:rsidR="007B7FB1" w:rsidRPr="007B7FB1" w:rsidRDefault="007B7FB1" w:rsidP="007B7FB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B7FB1" w:rsidRPr="007B7FB1" w:rsidRDefault="007B7FB1" w:rsidP="007B7FB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r w:rsidRPr="007B7FB1">
        <w:rPr>
          <w:rFonts w:ascii="Arial" w:hAnsi="Arial" w:cs="Arial"/>
          <w:color w:val="404040" w:themeColor="text1" w:themeTint="BF"/>
          <w:sz w:val="20"/>
          <w:szCs w:val="20"/>
        </w:rPr>
        <w:t>Em ambos os casos, judicial ou extrajudicial deve ser apresentado também:</w:t>
      </w:r>
    </w:p>
    <w:p w:rsidR="007B7FB1" w:rsidRPr="007B7FB1" w:rsidRDefault="007B7FB1" w:rsidP="007B7FB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r w:rsidRPr="007B7FB1">
        <w:rPr>
          <w:rFonts w:ascii="Arial" w:hAnsi="Arial" w:cs="Arial"/>
          <w:color w:val="404040" w:themeColor="text1" w:themeTint="BF"/>
          <w:sz w:val="20"/>
          <w:szCs w:val="20"/>
        </w:rPr>
        <w:t>Requerimento para averbar o óbito, assinado pela parte interessada ou por seu representante legal,</w:t>
      </w:r>
      <w:r w:rsidRPr="007B7FB1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Pr="007B7FB1">
        <w:rPr>
          <w:rFonts w:ascii="Arial" w:hAnsi="Arial" w:cs="Arial"/>
          <w:color w:val="404040" w:themeColor="text1" w:themeTint="BF"/>
          <w:sz w:val="20"/>
          <w:szCs w:val="20"/>
        </w:rPr>
        <w:t>com firma reconhecida ou assinado na presença da atendente, acompanhado da cópia autenticada da procuração, se for o caso. Indicando a matrícula do imóvel a ser registrado.</w:t>
      </w:r>
    </w:p>
    <w:p w:rsidR="00000000" w:rsidRPr="007B7FB1" w:rsidRDefault="007B7FB1" w:rsidP="007B7FB1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7B7FB1">
        <w:rPr>
          <w:rFonts w:ascii="Arial" w:eastAsia="Times New Roman" w:hAnsi="Arial" w:cs="Arial"/>
          <w:color w:val="404040" w:themeColor="text1" w:themeTint="BF"/>
          <w:sz w:val="20"/>
          <w:szCs w:val="20"/>
          <w:bdr w:val="none" w:sz="0" w:space="0" w:color="auto" w:frame="1"/>
        </w:rPr>
        <w:t xml:space="preserve">No caso de </w:t>
      </w:r>
      <w:r w:rsidRPr="007B7FB1">
        <w:rPr>
          <w:rFonts w:ascii="Arial" w:eastAsia="Times New Roman" w:hAnsi="Arial" w:cs="Arial"/>
          <w:color w:val="404040" w:themeColor="text1" w:themeTint="BF"/>
          <w:sz w:val="20"/>
          <w:szCs w:val="20"/>
          <w:u w:val="single"/>
          <w:bdr w:val="none" w:sz="0" w:space="0" w:color="auto" w:frame="1"/>
        </w:rPr>
        <w:t>imóvel rural</w:t>
      </w:r>
      <w:r w:rsidRPr="007B7FB1">
        <w:rPr>
          <w:rFonts w:ascii="Arial" w:eastAsia="Times New Roman" w:hAnsi="Arial" w:cs="Arial"/>
          <w:color w:val="404040" w:themeColor="text1" w:themeTint="BF"/>
          <w:sz w:val="20"/>
          <w:szCs w:val="20"/>
          <w:bdr w:val="none" w:sz="0" w:space="0" w:color="auto" w:frame="1"/>
        </w:rPr>
        <w:t xml:space="preserve">, devem ser apresentados: </w:t>
      </w:r>
      <w:hyperlink r:id="rId7" w:tgtFrame="_blank" w:history="1">
        <w:r w:rsidRPr="007B7FB1">
          <w:rPr>
            <w:rFonts w:ascii="Arial" w:eastAsia="Times New Roman" w:hAnsi="Arial" w:cs="Arial"/>
            <w:color w:val="404040" w:themeColor="text1" w:themeTint="BF"/>
            <w:sz w:val="20"/>
            <w:szCs w:val="20"/>
          </w:rPr>
          <w:t>CCIR atualizado e quitado; CND relativa ao ITR; DIAT e CAR</w:t>
        </w:r>
      </w:hyperlink>
      <w:r w:rsidRPr="007B7FB1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7B7FB1">
        <w:rPr>
          <w:rFonts w:ascii="Arial" w:eastAsia="Times New Roman" w:hAnsi="Arial" w:cs="Arial"/>
          <w:color w:val="404040" w:themeColor="text1" w:themeTint="BF"/>
          <w:sz w:val="20"/>
          <w:szCs w:val="20"/>
          <w:bdr w:val="none" w:sz="0" w:space="0" w:color="auto" w:frame="1"/>
        </w:rPr>
        <w:t xml:space="preserve">(Artigo 171 do </w:t>
      </w:r>
      <w:r w:rsidRPr="007B7FB1">
        <w:rPr>
          <w:rFonts w:ascii="Arial" w:hAnsi="Arial" w:cs="Arial"/>
          <w:color w:val="404040" w:themeColor="text1" w:themeTint="BF"/>
          <w:sz w:val="20"/>
          <w:szCs w:val="20"/>
        </w:rPr>
        <w:t>Provimento 260/CGJ/2013)</w:t>
      </w:r>
      <w:r w:rsidRPr="007B7FB1">
        <w:rPr>
          <w:rFonts w:ascii="Arial" w:eastAsia="Times New Roman" w:hAnsi="Arial" w:cs="Arial"/>
          <w:color w:val="404040" w:themeColor="text1" w:themeTint="BF"/>
          <w:sz w:val="20"/>
          <w:szCs w:val="20"/>
          <w:bdr w:val="none" w:sz="0" w:space="0" w:color="auto" w:frame="1"/>
        </w:rPr>
        <w:t>. Sendo dispensados estes documentos no ato do registro, apenas nos casos em que foram apresentados no cartório de notas, e estão válidos e transcritos no instrumento.</w:t>
      </w:r>
    </w:p>
    <w:sectPr w:rsidR="00000000" w:rsidRPr="007B7FB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FB1" w:rsidRDefault="007B7FB1" w:rsidP="007B7FB1">
      <w:pPr>
        <w:spacing w:after="0" w:line="240" w:lineRule="auto"/>
      </w:pPr>
      <w:r>
        <w:separator/>
      </w:r>
    </w:p>
  </w:endnote>
  <w:endnote w:type="continuationSeparator" w:id="1">
    <w:p w:rsidR="007B7FB1" w:rsidRDefault="007B7FB1" w:rsidP="007B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FB1" w:rsidRDefault="007B7FB1" w:rsidP="007B7FB1">
      <w:pPr>
        <w:spacing w:after="0" w:line="240" w:lineRule="auto"/>
      </w:pPr>
      <w:r>
        <w:separator/>
      </w:r>
    </w:p>
  </w:footnote>
  <w:footnote w:type="continuationSeparator" w:id="1">
    <w:p w:rsidR="007B7FB1" w:rsidRDefault="007B7FB1" w:rsidP="007B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FB1" w:rsidRDefault="007B7FB1">
    <w:pPr>
      <w:pStyle w:val="Cabealho"/>
    </w:pPr>
    <w:r w:rsidRPr="007B7FB1">
      <w:drawing>
        <wp:inline distT="0" distB="0" distL="0" distR="0">
          <wp:extent cx="1153117" cy="536981"/>
          <wp:effectExtent l="19050" t="0" r="8933" b="0"/>
          <wp:docPr id="3" name="Imagem 1" descr="Logo RIU Ofici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IU Ofici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3117" cy="536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7B7FB1">
      <w:rPr>
        <w:rFonts w:ascii="Arial" w:hAnsi="Arial" w:cs="Arial"/>
        <w:b/>
      </w:rPr>
      <w:t>INVENTÁRIO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07EE7"/>
    <w:multiLevelType w:val="multilevel"/>
    <w:tmpl w:val="58CC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2F762E"/>
    <w:multiLevelType w:val="multilevel"/>
    <w:tmpl w:val="0E58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7FB1"/>
    <w:rsid w:val="007B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7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B7FB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B7F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B7FB1"/>
  </w:style>
  <w:style w:type="paragraph" w:styleId="Rodap">
    <w:name w:val="footer"/>
    <w:basedOn w:val="Normal"/>
    <w:link w:val="RodapChar"/>
    <w:uiPriority w:val="99"/>
    <w:semiHidden/>
    <w:unhideWhenUsed/>
    <w:rsid w:val="007B7F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B7FB1"/>
  </w:style>
  <w:style w:type="paragraph" w:styleId="Textodebalo">
    <w:name w:val="Balloon Text"/>
    <w:basedOn w:val="Normal"/>
    <w:link w:val="TextodebaloChar"/>
    <w:uiPriority w:val="99"/>
    <w:semiHidden/>
    <w:unhideWhenUsed/>
    <w:rsid w:val="007B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ritarumirim.com.br/lin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cristiane.costa</dc:creator>
  <cp:keywords/>
  <dc:description/>
  <cp:lastModifiedBy>cristiane.costa</cp:lastModifiedBy>
  <cp:revision>2</cp:revision>
  <dcterms:created xsi:type="dcterms:W3CDTF">2019-09-11T13:23:00Z</dcterms:created>
  <dcterms:modified xsi:type="dcterms:W3CDTF">2019-09-11T13:24:00Z</dcterms:modified>
</cp:coreProperties>
</file>