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425" w:rsidRDefault="000D0425" w:rsidP="000D0425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color w:val="404040" w:themeColor="text1" w:themeTint="BF"/>
          <w:sz w:val="20"/>
          <w:szCs w:val="20"/>
          <w:u w:val="single"/>
        </w:rPr>
      </w:pPr>
    </w:p>
    <w:p w:rsidR="005918AD" w:rsidRPr="000D0425" w:rsidRDefault="005918AD" w:rsidP="000D0425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04040" w:themeColor="text1" w:themeTint="BF"/>
          <w:sz w:val="20"/>
          <w:szCs w:val="20"/>
        </w:rPr>
      </w:pPr>
      <w:r w:rsidRPr="000D0425">
        <w:rPr>
          <w:rFonts w:ascii="Arial" w:hAnsi="Arial" w:cs="Arial"/>
          <w:b/>
          <w:color w:val="404040" w:themeColor="text1" w:themeTint="BF"/>
          <w:sz w:val="20"/>
          <w:szCs w:val="20"/>
          <w:u w:val="single"/>
        </w:rPr>
        <w:t>Divórcio/Separação/Dissolução de união estável</w:t>
      </w:r>
      <w:r w:rsidRPr="000D0425">
        <w:rPr>
          <w:rFonts w:ascii="Arial" w:hAnsi="Arial" w:cs="Arial"/>
          <w:b/>
          <w:color w:val="404040" w:themeColor="text1" w:themeTint="BF"/>
          <w:sz w:val="20"/>
          <w:szCs w:val="20"/>
        </w:rPr>
        <w:t>:</w:t>
      </w:r>
      <w:r w:rsidRPr="000D0425">
        <w:rPr>
          <w:rFonts w:ascii="Arial" w:hAnsi="Arial" w:cs="Arial"/>
          <w:color w:val="404040" w:themeColor="text1" w:themeTint="BF"/>
          <w:sz w:val="20"/>
          <w:szCs w:val="20"/>
        </w:rPr>
        <w:t xml:space="preserve"> são processos pelos quais se faz a dissolução da sociedade conjugal e a partilha dos bens. Existem dois tipos de procedimentos:  </w:t>
      </w:r>
    </w:p>
    <w:p w:rsidR="005918AD" w:rsidRPr="000D0425" w:rsidRDefault="005918AD" w:rsidP="000D0425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5918AD" w:rsidRPr="000D0425" w:rsidRDefault="005918AD" w:rsidP="000D0425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04040" w:themeColor="text1" w:themeTint="BF"/>
          <w:sz w:val="20"/>
          <w:szCs w:val="20"/>
        </w:rPr>
      </w:pPr>
      <w:r w:rsidRPr="000D0425">
        <w:rPr>
          <w:rFonts w:ascii="Arial" w:hAnsi="Arial" w:cs="Arial"/>
          <w:color w:val="404040" w:themeColor="text1" w:themeTint="BF"/>
          <w:sz w:val="20"/>
          <w:szCs w:val="20"/>
          <w:u w:val="single"/>
        </w:rPr>
        <w:t>Judicial</w:t>
      </w:r>
      <w:r w:rsidRPr="000D0425">
        <w:rPr>
          <w:rFonts w:ascii="Arial" w:hAnsi="Arial" w:cs="Arial"/>
          <w:color w:val="404040" w:themeColor="text1" w:themeTint="BF"/>
          <w:sz w:val="20"/>
          <w:szCs w:val="20"/>
        </w:rPr>
        <w:t>: feito junto ao Poder Judiciário. Após a homologação da partilha, apresentar:</w:t>
      </w:r>
    </w:p>
    <w:p w:rsidR="005918AD" w:rsidRPr="000D0425" w:rsidRDefault="005918AD" w:rsidP="000D0425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404040" w:themeColor="text1" w:themeTint="BF"/>
          <w:sz w:val="20"/>
          <w:szCs w:val="20"/>
        </w:rPr>
      </w:pPr>
      <w:r w:rsidRPr="000D0425">
        <w:rPr>
          <w:rFonts w:ascii="Arial" w:hAnsi="Arial" w:cs="Arial"/>
          <w:color w:val="404040" w:themeColor="text1" w:themeTint="BF"/>
          <w:sz w:val="20"/>
          <w:szCs w:val="20"/>
        </w:rPr>
        <w:t xml:space="preserve">Carta de Sentença ou Formal de Partilha (título original, expedido pela secretaria da Vara responsável, com folhas de rosto e de encerramento, sendo todas numeradas e rubricadas); </w:t>
      </w:r>
    </w:p>
    <w:p w:rsidR="005918AD" w:rsidRPr="000D0425" w:rsidRDefault="005918AD" w:rsidP="000D0425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404040" w:themeColor="text1" w:themeTint="BF"/>
          <w:sz w:val="20"/>
          <w:szCs w:val="20"/>
        </w:rPr>
      </w:pPr>
      <w:r w:rsidRPr="000D0425">
        <w:rPr>
          <w:rFonts w:ascii="Arial" w:hAnsi="Arial" w:cs="Arial"/>
          <w:color w:val="404040" w:themeColor="text1" w:themeTint="BF"/>
          <w:sz w:val="20"/>
          <w:szCs w:val="20"/>
        </w:rPr>
        <w:t>Certidão Negativa de Pagamento/Desoneração do ITCD, emitida pela Receita Estadual/MG. (Lei Estadual nº 14.941/2003).</w:t>
      </w:r>
    </w:p>
    <w:p w:rsidR="005918AD" w:rsidRPr="000D0425" w:rsidRDefault="005918AD" w:rsidP="000D0425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404040" w:themeColor="text1" w:themeTint="BF"/>
          <w:sz w:val="20"/>
          <w:szCs w:val="20"/>
        </w:rPr>
      </w:pPr>
      <w:r w:rsidRPr="000D0425">
        <w:rPr>
          <w:rFonts w:ascii="Arial" w:hAnsi="Arial" w:cs="Arial"/>
          <w:color w:val="404040" w:themeColor="text1" w:themeTint="BF"/>
          <w:sz w:val="20"/>
          <w:szCs w:val="20"/>
          <w:u w:val="single"/>
        </w:rPr>
        <w:t>Extrajudicial</w:t>
      </w:r>
      <w:r w:rsidRPr="000D0425">
        <w:rPr>
          <w:rFonts w:ascii="Arial" w:hAnsi="Arial" w:cs="Arial"/>
          <w:color w:val="404040" w:themeColor="text1" w:themeTint="BF"/>
          <w:sz w:val="20"/>
          <w:szCs w:val="20"/>
        </w:rPr>
        <w:t xml:space="preserve">: escritura pública lavrada junto ao Cartório de Notas. Forma mais célere, contudo, devem ser observados alguns requisitos nestes casos. Os cônjuges devem ser capazes para o ato, e se houver filhos, estes devem ser absolutamente capazes. (artigos 207 e </w:t>
      </w:r>
      <w:proofErr w:type="spellStart"/>
      <w:proofErr w:type="gramStart"/>
      <w:r w:rsidRPr="000D0425">
        <w:rPr>
          <w:rFonts w:ascii="Arial" w:hAnsi="Arial" w:cs="Arial"/>
          <w:color w:val="404040" w:themeColor="text1" w:themeTint="BF"/>
          <w:sz w:val="20"/>
          <w:szCs w:val="20"/>
        </w:rPr>
        <w:t>ss</w:t>
      </w:r>
      <w:proofErr w:type="spellEnd"/>
      <w:proofErr w:type="gramEnd"/>
      <w:r w:rsidRPr="000D0425">
        <w:rPr>
          <w:rFonts w:ascii="Arial" w:hAnsi="Arial" w:cs="Arial"/>
          <w:color w:val="404040" w:themeColor="text1" w:themeTint="BF"/>
          <w:sz w:val="20"/>
          <w:szCs w:val="20"/>
        </w:rPr>
        <w:t xml:space="preserve"> do Prov. 260/CGJ/2013 e artigo 733 do CPC).  Para o registro apresentar:</w:t>
      </w:r>
    </w:p>
    <w:p w:rsidR="005918AD" w:rsidRPr="000D0425" w:rsidRDefault="005918AD" w:rsidP="000D0425">
      <w:pPr>
        <w:pStyle w:val="PargrafodaLista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404040" w:themeColor="text1" w:themeTint="BF"/>
          <w:sz w:val="20"/>
          <w:szCs w:val="20"/>
        </w:rPr>
      </w:pPr>
      <w:r w:rsidRPr="000D0425">
        <w:rPr>
          <w:rFonts w:ascii="Arial" w:hAnsi="Arial" w:cs="Arial"/>
          <w:color w:val="404040" w:themeColor="text1" w:themeTint="BF"/>
          <w:sz w:val="20"/>
          <w:szCs w:val="20"/>
        </w:rPr>
        <w:t>Escritura Pública de Divórcio/Separação/Dissolução;</w:t>
      </w:r>
    </w:p>
    <w:p w:rsidR="005918AD" w:rsidRPr="000D0425" w:rsidRDefault="005918AD" w:rsidP="000D0425">
      <w:pPr>
        <w:pStyle w:val="PargrafodaLista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404040" w:themeColor="text1" w:themeTint="BF"/>
          <w:sz w:val="20"/>
          <w:szCs w:val="20"/>
        </w:rPr>
      </w:pPr>
      <w:r w:rsidRPr="000D0425">
        <w:rPr>
          <w:rFonts w:ascii="Arial" w:hAnsi="Arial" w:cs="Arial"/>
          <w:color w:val="404040" w:themeColor="text1" w:themeTint="BF"/>
          <w:sz w:val="20"/>
          <w:szCs w:val="20"/>
        </w:rPr>
        <w:t>Cópia autenticada da certidão de casamento, com a anotação da extinção da sociedade conjugal;</w:t>
      </w:r>
    </w:p>
    <w:p w:rsidR="005918AD" w:rsidRPr="000D0425" w:rsidRDefault="005918AD" w:rsidP="000D0425">
      <w:pPr>
        <w:pStyle w:val="PargrafodaLista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404040" w:themeColor="text1" w:themeTint="BF"/>
          <w:sz w:val="20"/>
          <w:szCs w:val="20"/>
        </w:rPr>
      </w:pPr>
      <w:r w:rsidRPr="000D0425">
        <w:rPr>
          <w:rFonts w:ascii="Arial" w:hAnsi="Arial" w:cs="Arial"/>
          <w:color w:val="404040" w:themeColor="text1" w:themeTint="BF"/>
          <w:sz w:val="20"/>
          <w:szCs w:val="20"/>
        </w:rPr>
        <w:t>Certidão Negativa de Pagamento/Desoneração do ITCD, emitida pela Receita Estadual/MG, se não estiver transcrita na escritura. (Lei Estadual nº 14.941/2003), neste caso deve constar expressamente o código de autenticidade para verificação.</w:t>
      </w:r>
    </w:p>
    <w:p w:rsidR="005918AD" w:rsidRPr="000D0425" w:rsidRDefault="005918AD" w:rsidP="000D0425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5918AD" w:rsidRPr="000D0425" w:rsidRDefault="005918AD" w:rsidP="000D0425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04040" w:themeColor="text1" w:themeTint="BF"/>
          <w:sz w:val="20"/>
          <w:szCs w:val="20"/>
        </w:rPr>
      </w:pPr>
      <w:r w:rsidRPr="000D0425">
        <w:rPr>
          <w:rFonts w:ascii="Arial" w:hAnsi="Arial" w:cs="Arial"/>
          <w:color w:val="404040" w:themeColor="text1" w:themeTint="BF"/>
          <w:sz w:val="20"/>
          <w:szCs w:val="20"/>
        </w:rPr>
        <w:t>Em ambos os casos, judicial ou extrajudicial deve ser apresentado também:</w:t>
      </w:r>
    </w:p>
    <w:p w:rsidR="005918AD" w:rsidRPr="000D0425" w:rsidRDefault="005918AD" w:rsidP="000D0425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04040" w:themeColor="text1" w:themeTint="BF"/>
          <w:sz w:val="20"/>
          <w:szCs w:val="20"/>
        </w:rPr>
      </w:pPr>
      <w:r w:rsidRPr="000D0425">
        <w:rPr>
          <w:rFonts w:ascii="Arial" w:hAnsi="Arial" w:cs="Arial"/>
          <w:color w:val="404040" w:themeColor="text1" w:themeTint="BF"/>
          <w:sz w:val="20"/>
          <w:szCs w:val="20"/>
        </w:rPr>
        <w:t>Requerimento para averbar a alteração do estado civil, assinado pela parte interessada ou por seu representante legal,</w:t>
      </w:r>
      <w:r w:rsidRPr="000D0425">
        <w:rPr>
          <w:rFonts w:ascii="Arial" w:hAnsi="Arial" w:cs="Arial"/>
          <w:b/>
          <w:color w:val="404040" w:themeColor="text1" w:themeTint="BF"/>
          <w:sz w:val="20"/>
          <w:szCs w:val="20"/>
        </w:rPr>
        <w:t xml:space="preserve"> </w:t>
      </w:r>
      <w:r w:rsidRPr="000D0425">
        <w:rPr>
          <w:rFonts w:ascii="Arial" w:hAnsi="Arial" w:cs="Arial"/>
          <w:color w:val="404040" w:themeColor="text1" w:themeTint="BF"/>
          <w:sz w:val="20"/>
          <w:szCs w:val="20"/>
        </w:rPr>
        <w:t>com firma reconhecida ou assinado na presença da atendente, acompanhado da cópia autenticada da procuração, se for o caso. Indicando a matrícula do imóvel a ser registrado.</w:t>
      </w:r>
    </w:p>
    <w:p w:rsidR="005918AD" w:rsidRPr="000D0425" w:rsidRDefault="005918AD" w:rsidP="000D042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04040" w:themeColor="text1" w:themeTint="BF"/>
          <w:sz w:val="20"/>
          <w:szCs w:val="20"/>
          <w:bdr w:val="none" w:sz="0" w:space="0" w:color="auto" w:frame="1"/>
        </w:rPr>
      </w:pPr>
    </w:p>
    <w:p w:rsidR="008E760F" w:rsidRPr="000D0425" w:rsidRDefault="005918AD" w:rsidP="000D0425">
      <w:pPr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0D0425">
        <w:rPr>
          <w:rFonts w:ascii="Arial" w:eastAsia="Times New Roman" w:hAnsi="Arial" w:cs="Arial"/>
          <w:color w:val="404040" w:themeColor="text1" w:themeTint="BF"/>
          <w:sz w:val="20"/>
          <w:szCs w:val="20"/>
          <w:bdr w:val="none" w:sz="0" w:space="0" w:color="auto" w:frame="1"/>
        </w:rPr>
        <w:t xml:space="preserve">No caso de </w:t>
      </w:r>
      <w:r w:rsidRPr="000D0425">
        <w:rPr>
          <w:rFonts w:ascii="Arial" w:eastAsia="Times New Roman" w:hAnsi="Arial" w:cs="Arial"/>
          <w:color w:val="404040" w:themeColor="text1" w:themeTint="BF"/>
          <w:sz w:val="20"/>
          <w:szCs w:val="20"/>
          <w:u w:val="single"/>
          <w:bdr w:val="none" w:sz="0" w:space="0" w:color="auto" w:frame="1"/>
        </w:rPr>
        <w:t>imóvel rural</w:t>
      </w:r>
      <w:r w:rsidRPr="000D0425">
        <w:rPr>
          <w:rFonts w:ascii="Arial" w:eastAsia="Times New Roman" w:hAnsi="Arial" w:cs="Arial"/>
          <w:color w:val="404040" w:themeColor="text1" w:themeTint="BF"/>
          <w:sz w:val="20"/>
          <w:szCs w:val="20"/>
          <w:bdr w:val="none" w:sz="0" w:space="0" w:color="auto" w:frame="1"/>
        </w:rPr>
        <w:t xml:space="preserve">, devem ser apresentados: </w:t>
      </w:r>
      <w:hyperlink r:id="rId7" w:tgtFrame="_blank" w:history="1">
        <w:r w:rsidRPr="000D0425">
          <w:rPr>
            <w:rFonts w:ascii="Arial" w:eastAsia="Times New Roman" w:hAnsi="Arial" w:cs="Arial"/>
            <w:color w:val="404040" w:themeColor="text1" w:themeTint="BF"/>
            <w:sz w:val="20"/>
            <w:szCs w:val="20"/>
          </w:rPr>
          <w:t>CCIR atualizado e quitado; CND relativa ao ITR; DIAT e CAR</w:t>
        </w:r>
      </w:hyperlink>
      <w:r w:rsidRPr="000D0425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r w:rsidRPr="000D0425">
        <w:rPr>
          <w:rFonts w:ascii="Arial" w:eastAsia="Times New Roman" w:hAnsi="Arial" w:cs="Arial"/>
          <w:color w:val="404040" w:themeColor="text1" w:themeTint="BF"/>
          <w:sz w:val="20"/>
          <w:szCs w:val="20"/>
          <w:bdr w:val="none" w:sz="0" w:space="0" w:color="auto" w:frame="1"/>
        </w:rPr>
        <w:t xml:space="preserve">(Artigo 171 do </w:t>
      </w:r>
      <w:r w:rsidRPr="000D0425">
        <w:rPr>
          <w:rFonts w:ascii="Arial" w:hAnsi="Arial" w:cs="Arial"/>
          <w:color w:val="404040" w:themeColor="text1" w:themeTint="BF"/>
          <w:sz w:val="20"/>
          <w:szCs w:val="20"/>
        </w:rPr>
        <w:t>Provimento 260/CGJ/2013)</w:t>
      </w:r>
      <w:r w:rsidRPr="000D0425">
        <w:rPr>
          <w:rFonts w:ascii="Arial" w:eastAsia="Times New Roman" w:hAnsi="Arial" w:cs="Arial"/>
          <w:color w:val="404040" w:themeColor="text1" w:themeTint="BF"/>
          <w:sz w:val="20"/>
          <w:szCs w:val="20"/>
          <w:bdr w:val="none" w:sz="0" w:space="0" w:color="auto" w:frame="1"/>
        </w:rPr>
        <w:t>. Sendo dispensados estes documentos no ato do registro, apenas nos casos em que foram apresentados no cartório de notas, e estão válidos e transcritos no instrumento.</w:t>
      </w:r>
    </w:p>
    <w:sectPr w:rsidR="008E760F" w:rsidRPr="000D0425" w:rsidSect="008E760F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0425" w:rsidRDefault="000D0425" w:rsidP="000D0425">
      <w:pPr>
        <w:spacing w:after="0" w:line="240" w:lineRule="auto"/>
      </w:pPr>
      <w:r>
        <w:separator/>
      </w:r>
    </w:p>
  </w:endnote>
  <w:endnote w:type="continuationSeparator" w:id="1">
    <w:p w:rsidR="000D0425" w:rsidRDefault="000D0425" w:rsidP="000D0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0425" w:rsidRDefault="000D0425" w:rsidP="000D0425">
      <w:pPr>
        <w:spacing w:after="0" w:line="240" w:lineRule="auto"/>
      </w:pPr>
      <w:r>
        <w:separator/>
      </w:r>
    </w:p>
  </w:footnote>
  <w:footnote w:type="continuationSeparator" w:id="1">
    <w:p w:rsidR="000D0425" w:rsidRDefault="000D0425" w:rsidP="000D04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425" w:rsidRPr="000D0425" w:rsidRDefault="000D0425">
    <w:pPr>
      <w:pStyle w:val="Cabealho"/>
      <w:rPr>
        <w:sz w:val="20"/>
        <w:szCs w:val="20"/>
      </w:rPr>
    </w:pPr>
    <w:r w:rsidRPr="000D0425">
      <w:drawing>
        <wp:inline distT="0" distB="0" distL="0" distR="0">
          <wp:extent cx="1153117" cy="536981"/>
          <wp:effectExtent l="19050" t="0" r="8933" b="0"/>
          <wp:docPr id="4" name="Imagem 1" descr="Logo RIU Oficia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RIU Oficia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53117" cy="5369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  <w:r w:rsidRPr="000D0425">
      <w:rPr>
        <w:rFonts w:ascii="Arial" w:hAnsi="Arial" w:cs="Arial"/>
        <w:b/>
        <w:color w:val="404040" w:themeColor="text1" w:themeTint="BF"/>
        <w:sz w:val="20"/>
        <w:szCs w:val="20"/>
        <w:u w:val="single"/>
      </w:rPr>
      <w:t>DIVÓRCIO, SEPARAÇÃO</w:t>
    </w:r>
    <w:proofErr w:type="gramStart"/>
    <w:r w:rsidRPr="000D0425">
      <w:rPr>
        <w:rFonts w:ascii="Arial" w:hAnsi="Arial" w:cs="Arial"/>
        <w:b/>
        <w:color w:val="404040" w:themeColor="text1" w:themeTint="BF"/>
        <w:sz w:val="20"/>
        <w:szCs w:val="20"/>
        <w:u w:val="single"/>
      </w:rPr>
      <w:t xml:space="preserve">  </w:t>
    </w:r>
    <w:proofErr w:type="gramEnd"/>
    <w:r w:rsidRPr="000D0425">
      <w:rPr>
        <w:rFonts w:ascii="Arial" w:hAnsi="Arial" w:cs="Arial"/>
        <w:b/>
        <w:color w:val="404040" w:themeColor="text1" w:themeTint="BF"/>
        <w:sz w:val="20"/>
        <w:szCs w:val="20"/>
        <w:u w:val="single"/>
      </w:rPr>
      <w:t>E DISSOLUÇÃO DE UNIÃO ESTÁVEL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907EE7"/>
    <w:multiLevelType w:val="multilevel"/>
    <w:tmpl w:val="58CCD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32F762E"/>
    <w:multiLevelType w:val="multilevel"/>
    <w:tmpl w:val="0E588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918AD"/>
    <w:rsid w:val="000D0425"/>
    <w:rsid w:val="005918AD"/>
    <w:rsid w:val="008E7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60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91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918AD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0D04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D0425"/>
  </w:style>
  <w:style w:type="paragraph" w:styleId="Rodap">
    <w:name w:val="footer"/>
    <w:basedOn w:val="Normal"/>
    <w:link w:val="RodapChar"/>
    <w:uiPriority w:val="99"/>
    <w:semiHidden/>
    <w:unhideWhenUsed/>
    <w:rsid w:val="000D04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0D0425"/>
  </w:style>
  <w:style w:type="paragraph" w:styleId="Textodebalo">
    <w:name w:val="Balloon Text"/>
    <w:basedOn w:val="Normal"/>
    <w:link w:val="TextodebaloChar"/>
    <w:uiPriority w:val="99"/>
    <w:semiHidden/>
    <w:unhideWhenUsed/>
    <w:rsid w:val="000D0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04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critarumirim.com.br/link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1718</Characters>
  <Application>Microsoft Office Word</Application>
  <DocSecurity>0</DocSecurity>
  <Lines>14</Lines>
  <Paragraphs>4</Paragraphs>
  <ScaleCrop>false</ScaleCrop>
  <Company/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cristiane.costa</dc:creator>
  <cp:keywords/>
  <dc:description/>
  <cp:lastModifiedBy>cristiane.costa</cp:lastModifiedBy>
  <cp:revision>3</cp:revision>
  <dcterms:created xsi:type="dcterms:W3CDTF">2019-09-11T13:25:00Z</dcterms:created>
  <dcterms:modified xsi:type="dcterms:W3CDTF">2019-09-11T13:27:00Z</dcterms:modified>
</cp:coreProperties>
</file>