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2C" w:rsidRDefault="0061652C" w:rsidP="0061652C">
      <w:pPr>
        <w:spacing w:after="120" w:line="360" w:lineRule="auto"/>
        <w:jc w:val="center"/>
        <w:rPr>
          <w:rFonts w:eastAsia="Times New Roman" w:cs="Arial"/>
          <w:b/>
          <w:bCs/>
          <w:color w:val="666666"/>
          <w:sz w:val="24"/>
          <w:bdr w:val="none" w:sz="0" w:space="0" w:color="auto" w:frame="1"/>
          <w:lang w:eastAsia="pt-PT"/>
        </w:rPr>
      </w:pPr>
      <w:r w:rsidRPr="0061652C">
        <w:rPr>
          <w:rFonts w:eastAsia="Times New Roman" w:cs="Arial"/>
          <w:b/>
          <w:bCs/>
          <w:color w:val="666666"/>
          <w:sz w:val="24"/>
          <w:bdr w:val="none" w:sz="0" w:space="0" w:color="auto" w:frame="1"/>
          <w:lang w:eastAsia="pt-PT"/>
        </w:rPr>
        <w:t>INSTITUIÇÃO E CONVENÇÃO DE CONDOMÍNIO DE EDIFÍCIO</w:t>
      </w:r>
    </w:p>
    <w:p w:rsidR="0061652C" w:rsidRPr="0061652C" w:rsidRDefault="0061652C" w:rsidP="0061652C">
      <w:pPr>
        <w:spacing w:after="120" w:line="360" w:lineRule="auto"/>
        <w:jc w:val="center"/>
        <w:rPr>
          <w:rFonts w:eastAsia="Times New Roman" w:cs="Arial"/>
          <w:b/>
          <w:bCs/>
          <w:color w:val="666666"/>
          <w:sz w:val="24"/>
          <w:bdr w:val="none" w:sz="0" w:space="0" w:color="auto" w:frame="1"/>
          <w:lang w:eastAsia="pt-PT"/>
        </w:rPr>
      </w:pPr>
      <w:bookmarkStart w:id="0" w:name="_GoBack"/>
      <w:bookmarkEnd w:id="0"/>
    </w:p>
    <w:p w:rsidR="0061652C" w:rsidRPr="0061652C" w:rsidRDefault="0061652C" w:rsidP="0061652C">
      <w:pPr>
        <w:pStyle w:val="PargrafodaLista"/>
        <w:numPr>
          <w:ilvl w:val="0"/>
          <w:numId w:val="23"/>
        </w:numPr>
        <w:spacing w:after="120" w:line="360" w:lineRule="auto"/>
        <w:jc w:val="both"/>
        <w:rPr>
          <w:rFonts w:eastAsia="Times New Roman" w:cs="Arial"/>
          <w:color w:val="666666"/>
          <w:lang w:eastAsia="pt-PT"/>
        </w:rPr>
      </w:pPr>
      <w:r w:rsidRPr="0061652C">
        <w:rPr>
          <w:rFonts w:eastAsia="Times New Roman" w:cs="Arial"/>
          <w:b/>
          <w:bCs/>
          <w:color w:val="666666"/>
          <w:bdr w:val="none" w:sz="0" w:space="0" w:color="auto" w:frame="1"/>
          <w:lang w:eastAsia="pt-PT"/>
        </w:rPr>
        <w:t>INSTRUMENTO DE INSTITUIÇÃO DE CONDOMÍNIO</w:t>
      </w:r>
      <w:r w:rsidRPr="0061652C">
        <w:rPr>
          <w:rFonts w:eastAsia="Times New Roman" w:cs="Arial"/>
          <w:color w:val="666666"/>
          <w:bdr w:val="none" w:sz="0" w:space="0" w:color="auto" w:frame="1"/>
          <w:lang w:eastAsia="pt-PT"/>
        </w:rPr>
        <w:t> (assinado por TODOS os proprietários com firmas reconhecidas, contendo):</w:t>
      </w:r>
    </w:p>
    <w:p w:rsidR="0061652C" w:rsidRPr="0061652C" w:rsidRDefault="0061652C" w:rsidP="0061652C">
      <w:pPr>
        <w:pStyle w:val="PargrafodaLista"/>
        <w:numPr>
          <w:ilvl w:val="1"/>
          <w:numId w:val="24"/>
        </w:numPr>
        <w:spacing w:after="120" w:line="360" w:lineRule="auto"/>
        <w:jc w:val="both"/>
        <w:rPr>
          <w:rFonts w:eastAsia="Times New Roman" w:cs="Arial"/>
          <w:color w:val="666666"/>
          <w:lang w:eastAsia="pt-PT"/>
        </w:rPr>
      </w:pPr>
      <w:r w:rsidRPr="0061652C">
        <w:rPr>
          <w:rFonts w:eastAsia="Times New Roman" w:cs="Arial"/>
          <w:b/>
          <w:bCs/>
          <w:color w:val="666666"/>
          <w:bdr w:val="none" w:sz="0" w:space="0" w:color="auto" w:frame="1"/>
          <w:lang w:eastAsia="pt-PT"/>
        </w:rPr>
        <w:t xml:space="preserve">PROPRIETÁRIOS: </w:t>
      </w:r>
    </w:p>
    <w:p w:rsidR="0061652C" w:rsidRPr="0061652C" w:rsidRDefault="0061652C" w:rsidP="0061652C">
      <w:pPr>
        <w:pStyle w:val="PargrafodaLista"/>
        <w:numPr>
          <w:ilvl w:val="2"/>
          <w:numId w:val="24"/>
        </w:numPr>
        <w:spacing w:after="120" w:line="360" w:lineRule="auto"/>
        <w:jc w:val="both"/>
        <w:rPr>
          <w:rFonts w:eastAsia="Times New Roman" w:cs="Arial"/>
          <w:color w:val="666666"/>
          <w:lang w:eastAsia="pt-PT"/>
        </w:rPr>
      </w:pPr>
      <w:r w:rsidRPr="0061652C">
        <w:rPr>
          <w:rFonts w:eastAsia="Times New Roman" w:cs="Arial"/>
          <w:bCs/>
          <w:color w:val="666666"/>
          <w:bdr w:val="none" w:sz="0" w:space="0" w:color="auto" w:frame="1"/>
          <w:lang w:eastAsia="pt-PT"/>
        </w:rPr>
        <w:t>S</w:t>
      </w:r>
      <w:r w:rsidRPr="0061652C">
        <w:rPr>
          <w:rFonts w:eastAsia="Times New Roman" w:cs="Arial"/>
          <w:color w:val="666666"/>
          <w:bdr w:val="none" w:sz="0" w:space="0" w:color="auto" w:frame="1"/>
          <w:lang w:eastAsia="pt-PT"/>
        </w:rPr>
        <w:t>e pessoas físicas, nome, nacionalidade, estado civil, profissão, número do documento de identidade oficial, número do CPF e endereço tanto dos proprietários quanto de seus cônjuges, se houver, e, nesse caso, regime de bens e data do casamento; </w:t>
      </w:r>
    </w:p>
    <w:p w:rsidR="0061652C" w:rsidRPr="0061652C" w:rsidRDefault="0061652C" w:rsidP="0061652C">
      <w:pPr>
        <w:pStyle w:val="PargrafodaLista"/>
        <w:numPr>
          <w:ilvl w:val="2"/>
          <w:numId w:val="24"/>
        </w:numPr>
        <w:spacing w:after="120" w:line="360" w:lineRule="auto"/>
        <w:jc w:val="both"/>
        <w:rPr>
          <w:rFonts w:eastAsia="Times New Roman" w:cs="Arial"/>
          <w:color w:val="666666"/>
          <w:lang w:eastAsia="pt-PT"/>
        </w:rPr>
      </w:pPr>
      <w:r w:rsidRPr="0061652C">
        <w:rPr>
          <w:rFonts w:eastAsia="Times New Roman" w:cs="Arial"/>
          <w:color w:val="666666"/>
          <w:bdr w:val="none" w:sz="0" w:space="0" w:color="auto" w:frame="1"/>
          <w:lang w:eastAsia="pt-PT"/>
        </w:rPr>
        <w:t>Se pessoa jurídica, o requerimento deverá estar instruído com o contrato social, original ou cópia autenticada, devidamente registrado na Junta Comercial ou no Ofício de Registro Civil das Pessoas Jurídicas, juntamente com certidão atualizada dos atos constitutivos, por meio dos quais se verificará a capacidade dos signatários do requerimento;</w:t>
      </w:r>
    </w:p>
    <w:p w:rsidR="0061652C" w:rsidRPr="0061652C" w:rsidRDefault="0061652C" w:rsidP="0061652C">
      <w:pPr>
        <w:pStyle w:val="PargrafodaLista"/>
        <w:numPr>
          <w:ilvl w:val="1"/>
          <w:numId w:val="24"/>
        </w:numPr>
        <w:spacing w:after="120" w:line="360" w:lineRule="auto"/>
        <w:jc w:val="both"/>
        <w:rPr>
          <w:rFonts w:eastAsia="Times New Roman" w:cs="Arial"/>
          <w:color w:val="666666"/>
          <w:lang w:eastAsia="pt-PT"/>
        </w:rPr>
      </w:pPr>
      <w:r w:rsidRPr="0061652C">
        <w:rPr>
          <w:rFonts w:eastAsia="Times New Roman" w:cs="Arial"/>
          <w:b/>
          <w:bCs/>
          <w:color w:val="666666"/>
          <w:bdr w:val="none" w:sz="0" w:space="0" w:color="auto" w:frame="1"/>
          <w:lang w:eastAsia="pt-PT"/>
        </w:rPr>
        <w:t>TERRENO</w:t>
      </w:r>
      <w:r w:rsidRPr="0061652C">
        <w:rPr>
          <w:rFonts w:eastAsia="Times New Roman" w:cs="Arial"/>
          <w:color w:val="666666"/>
          <w:bdr w:val="none" w:sz="0" w:space="0" w:color="auto" w:frame="1"/>
          <w:lang w:eastAsia="pt-PT"/>
        </w:rPr>
        <w:t>: descrição completa em acordo com o registro respectivo;</w:t>
      </w:r>
    </w:p>
    <w:p w:rsidR="0061652C" w:rsidRPr="0061652C" w:rsidRDefault="0061652C" w:rsidP="0061652C">
      <w:pPr>
        <w:pStyle w:val="PargrafodaLista"/>
        <w:numPr>
          <w:ilvl w:val="1"/>
          <w:numId w:val="24"/>
        </w:numPr>
        <w:spacing w:after="120" w:line="360" w:lineRule="auto"/>
        <w:jc w:val="both"/>
        <w:rPr>
          <w:rFonts w:eastAsia="Times New Roman" w:cs="Arial"/>
          <w:color w:val="666666"/>
          <w:lang w:eastAsia="pt-PT"/>
        </w:rPr>
      </w:pPr>
      <w:r w:rsidRPr="0061652C">
        <w:rPr>
          <w:rFonts w:eastAsia="Times New Roman" w:cs="Arial"/>
          <w:b/>
          <w:bCs/>
          <w:color w:val="666666"/>
          <w:bdr w:val="none" w:sz="0" w:space="0" w:color="auto" w:frame="1"/>
          <w:lang w:eastAsia="pt-PT"/>
        </w:rPr>
        <w:t>ORIGEM e DISPONIBILIDADE</w:t>
      </w:r>
      <w:r w:rsidRPr="0061652C">
        <w:rPr>
          <w:rFonts w:eastAsia="Times New Roman" w:cs="Arial"/>
          <w:color w:val="666666"/>
          <w:bdr w:val="none" w:sz="0" w:space="0" w:color="auto" w:frame="1"/>
          <w:lang w:eastAsia="pt-PT"/>
        </w:rPr>
        <w:t>: indicação do registro imobiliário correspondente e declaração da existência ou não de ônus;</w:t>
      </w:r>
    </w:p>
    <w:p w:rsidR="0061652C" w:rsidRPr="0061652C" w:rsidRDefault="0061652C" w:rsidP="0061652C">
      <w:pPr>
        <w:pStyle w:val="PargrafodaLista"/>
        <w:numPr>
          <w:ilvl w:val="1"/>
          <w:numId w:val="24"/>
        </w:numPr>
        <w:spacing w:after="120" w:line="360" w:lineRule="auto"/>
        <w:jc w:val="both"/>
        <w:rPr>
          <w:rFonts w:eastAsia="Times New Roman" w:cs="Arial"/>
          <w:color w:val="666666"/>
          <w:lang w:eastAsia="pt-PT"/>
        </w:rPr>
      </w:pPr>
      <w:r w:rsidRPr="0061652C">
        <w:rPr>
          <w:rFonts w:eastAsia="Times New Roman" w:cs="Arial"/>
          <w:b/>
          <w:bCs/>
          <w:color w:val="666666"/>
          <w:bdr w:val="none" w:sz="0" w:space="0" w:color="auto" w:frame="1"/>
          <w:lang w:eastAsia="pt-PT"/>
        </w:rPr>
        <w:t>CARACTERIZAÇÃO DO PRÉDIO</w:t>
      </w:r>
      <w:r w:rsidRPr="0061652C">
        <w:rPr>
          <w:rFonts w:eastAsia="Times New Roman" w:cs="Arial"/>
          <w:color w:val="666666"/>
          <w:bdr w:val="none" w:sz="0" w:space="0" w:color="auto" w:frame="1"/>
          <w:lang w:eastAsia="pt-PT"/>
        </w:rPr>
        <w:t>: descrever a construção que se pretende registrar, finalidade das unidades (comercial, residencial ou mista), nº de pavimentos, área total do empreendimento, etc.;</w:t>
      </w:r>
    </w:p>
    <w:p w:rsidR="0061652C" w:rsidRPr="0061652C" w:rsidRDefault="0061652C" w:rsidP="0061652C">
      <w:pPr>
        <w:pStyle w:val="PargrafodaLista"/>
        <w:numPr>
          <w:ilvl w:val="1"/>
          <w:numId w:val="24"/>
        </w:numPr>
        <w:spacing w:after="120" w:line="360" w:lineRule="auto"/>
        <w:jc w:val="both"/>
        <w:rPr>
          <w:rFonts w:eastAsia="Times New Roman" w:cs="Arial"/>
          <w:color w:val="666666"/>
          <w:lang w:eastAsia="pt-PT"/>
        </w:rPr>
      </w:pPr>
      <w:r w:rsidRPr="0061652C">
        <w:rPr>
          <w:rFonts w:eastAsia="Times New Roman" w:cs="Arial"/>
          <w:b/>
          <w:bCs/>
          <w:color w:val="666666"/>
          <w:bdr w:val="none" w:sz="0" w:space="0" w:color="auto" w:frame="1"/>
          <w:lang w:eastAsia="pt-PT"/>
        </w:rPr>
        <w:t>UNIDADES AUTÔNOMAS</w:t>
      </w:r>
      <w:r w:rsidRPr="0061652C">
        <w:rPr>
          <w:rFonts w:eastAsia="Times New Roman" w:cs="Arial"/>
          <w:color w:val="666666"/>
          <w:bdr w:val="none" w:sz="0" w:space="0" w:color="auto" w:frame="1"/>
          <w:lang w:eastAsia="pt-PT"/>
        </w:rPr>
        <w:t>: descrição que compreende as informações contidas no </w:t>
      </w:r>
      <w:r w:rsidRPr="0061652C">
        <w:rPr>
          <w:rFonts w:eastAsia="Times New Roman" w:cs="Arial"/>
          <w:b/>
          <w:bCs/>
          <w:color w:val="666666"/>
          <w:bdr w:val="none" w:sz="0" w:space="0" w:color="auto" w:frame="1"/>
          <w:lang w:eastAsia="pt-PT"/>
        </w:rPr>
        <w:t>quadro IV-B da NBR</w:t>
      </w:r>
      <w:r w:rsidRPr="0061652C">
        <w:rPr>
          <w:rFonts w:eastAsia="Times New Roman" w:cs="Arial"/>
          <w:color w:val="666666"/>
          <w:bdr w:val="none" w:sz="0" w:space="0" w:color="auto" w:frame="1"/>
          <w:lang w:eastAsia="pt-PT"/>
        </w:rPr>
        <w:t>: </w:t>
      </w:r>
      <w:proofErr w:type="gramStart"/>
      <w:r w:rsidRPr="0061652C">
        <w:rPr>
          <w:rFonts w:eastAsia="Times New Roman" w:cs="Arial"/>
          <w:b/>
          <w:bCs/>
          <w:color w:val="666666"/>
          <w:bdr w:val="none" w:sz="0" w:space="0" w:color="auto" w:frame="1"/>
          <w:lang w:eastAsia="pt-PT"/>
        </w:rPr>
        <w:t>1</w:t>
      </w:r>
      <w:proofErr w:type="gramEnd"/>
      <w:r w:rsidRPr="0061652C">
        <w:rPr>
          <w:rFonts w:eastAsia="Times New Roman" w:cs="Arial"/>
          <w:b/>
          <w:bCs/>
          <w:color w:val="666666"/>
          <w:bdr w:val="none" w:sz="0" w:space="0" w:color="auto" w:frame="1"/>
          <w:lang w:eastAsia="pt-PT"/>
        </w:rPr>
        <w:t>.</w:t>
      </w:r>
      <w:r w:rsidRPr="0061652C">
        <w:rPr>
          <w:rFonts w:eastAsia="Times New Roman" w:cs="Arial"/>
          <w:color w:val="666666"/>
          <w:bdr w:val="none" w:sz="0" w:space="0" w:color="auto" w:frame="1"/>
          <w:lang w:eastAsia="pt-PT"/>
        </w:rPr>
        <w:t> Designação da unidade (apartamento / loja / box); </w:t>
      </w:r>
      <w:r w:rsidRPr="0061652C">
        <w:rPr>
          <w:rFonts w:eastAsia="Times New Roman" w:cs="Arial"/>
          <w:b/>
          <w:bCs/>
          <w:color w:val="666666"/>
          <w:bdr w:val="none" w:sz="0" w:space="0" w:color="auto" w:frame="1"/>
          <w:lang w:eastAsia="pt-PT"/>
        </w:rPr>
        <w:t>2.</w:t>
      </w:r>
      <w:r w:rsidRPr="0061652C">
        <w:rPr>
          <w:rFonts w:eastAsia="Times New Roman" w:cs="Arial"/>
          <w:color w:val="666666"/>
          <w:bdr w:val="none" w:sz="0" w:space="0" w:color="auto" w:frame="1"/>
          <w:lang w:eastAsia="pt-PT"/>
        </w:rPr>
        <w:t> Área privativa principal; </w:t>
      </w:r>
      <w:r w:rsidRPr="0061652C">
        <w:rPr>
          <w:rFonts w:eastAsia="Times New Roman" w:cs="Arial"/>
          <w:b/>
          <w:bCs/>
          <w:color w:val="666666"/>
          <w:bdr w:val="none" w:sz="0" w:space="0" w:color="auto" w:frame="1"/>
          <w:lang w:eastAsia="pt-PT"/>
        </w:rPr>
        <w:t>3.</w:t>
      </w:r>
      <w:r w:rsidRPr="0061652C">
        <w:rPr>
          <w:rFonts w:eastAsia="Times New Roman" w:cs="Arial"/>
          <w:color w:val="666666"/>
          <w:bdr w:val="none" w:sz="0" w:space="0" w:color="auto" w:frame="1"/>
          <w:lang w:eastAsia="pt-PT"/>
        </w:rPr>
        <w:t> Outras Áreas Privativas (Acessórias); </w:t>
      </w:r>
      <w:r w:rsidRPr="0061652C">
        <w:rPr>
          <w:rFonts w:eastAsia="Times New Roman" w:cs="Arial"/>
          <w:b/>
          <w:bCs/>
          <w:color w:val="666666"/>
          <w:bdr w:val="none" w:sz="0" w:space="0" w:color="auto" w:frame="1"/>
          <w:lang w:eastAsia="pt-PT"/>
        </w:rPr>
        <w:t>4.</w:t>
      </w:r>
      <w:r w:rsidRPr="0061652C">
        <w:rPr>
          <w:rFonts w:eastAsia="Times New Roman" w:cs="Arial"/>
          <w:color w:val="666666"/>
          <w:bdr w:val="none" w:sz="0" w:space="0" w:color="auto" w:frame="1"/>
          <w:lang w:eastAsia="pt-PT"/>
        </w:rPr>
        <w:t> Área Privativa Total; </w:t>
      </w:r>
      <w:r w:rsidRPr="0061652C">
        <w:rPr>
          <w:rFonts w:eastAsia="Times New Roman" w:cs="Arial"/>
          <w:b/>
          <w:bCs/>
          <w:color w:val="666666"/>
          <w:bdr w:val="none" w:sz="0" w:space="0" w:color="auto" w:frame="1"/>
          <w:lang w:eastAsia="pt-PT"/>
        </w:rPr>
        <w:t>5.</w:t>
      </w:r>
      <w:r w:rsidRPr="0061652C">
        <w:rPr>
          <w:rFonts w:eastAsia="Times New Roman" w:cs="Arial"/>
          <w:color w:val="666666"/>
          <w:bdr w:val="none" w:sz="0" w:space="0" w:color="auto" w:frame="1"/>
          <w:lang w:eastAsia="pt-PT"/>
        </w:rPr>
        <w:t> Área de Uso comum;</w:t>
      </w:r>
      <w:r w:rsidRPr="0061652C">
        <w:rPr>
          <w:rFonts w:eastAsia="Times New Roman" w:cs="Arial"/>
          <w:b/>
          <w:bCs/>
          <w:color w:val="666666"/>
          <w:bdr w:val="none" w:sz="0" w:space="0" w:color="auto" w:frame="1"/>
          <w:lang w:eastAsia="pt-PT"/>
        </w:rPr>
        <w:t>7.</w:t>
      </w:r>
      <w:r w:rsidRPr="0061652C">
        <w:rPr>
          <w:rFonts w:eastAsia="Times New Roman" w:cs="Arial"/>
          <w:color w:val="666666"/>
          <w:bdr w:val="none" w:sz="0" w:space="0" w:color="auto" w:frame="1"/>
          <w:lang w:eastAsia="pt-PT"/>
        </w:rPr>
        <w:t> Área Real Total; </w:t>
      </w:r>
      <w:r w:rsidRPr="0061652C">
        <w:rPr>
          <w:rFonts w:eastAsia="Times New Roman" w:cs="Arial"/>
          <w:b/>
          <w:bCs/>
          <w:color w:val="666666"/>
          <w:bdr w:val="none" w:sz="0" w:space="0" w:color="auto" w:frame="1"/>
          <w:lang w:eastAsia="pt-PT"/>
        </w:rPr>
        <w:t>6.</w:t>
      </w:r>
      <w:r w:rsidRPr="0061652C">
        <w:rPr>
          <w:rFonts w:eastAsia="Times New Roman" w:cs="Arial"/>
          <w:color w:val="666666"/>
          <w:bdr w:val="none" w:sz="0" w:space="0" w:color="auto" w:frame="1"/>
          <w:lang w:eastAsia="pt-PT"/>
        </w:rPr>
        <w:t> Coeficiente de Proporcionalidade (fração ideal); </w:t>
      </w:r>
      <w:r w:rsidRPr="0061652C">
        <w:rPr>
          <w:rFonts w:eastAsia="Times New Roman" w:cs="Arial"/>
          <w:b/>
          <w:bCs/>
          <w:color w:val="666666"/>
          <w:bdr w:val="none" w:sz="0" w:space="0" w:color="auto" w:frame="1"/>
          <w:lang w:eastAsia="pt-PT"/>
        </w:rPr>
        <w:t>7.</w:t>
      </w:r>
      <w:r w:rsidRPr="0061652C">
        <w:rPr>
          <w:rFonts w:eastAsia="Times New Roman" w:cs="Arial"/>
          <w:color w:val="666666"/>
          <w:bdr w:val="none" w:sz="0" w:space="0" w:color="auto" w:frame="1"/>
          <w:lang w:eastAsia="pt-PT"/>
        </w:rPr>
        <w:t> Vagas de garagens (quando acessórias);</w:t>
      </w:r>
    </w:p>
    <w:p w:rsidR="0061652C" w:rsidRPr="0061652C" w:rsidRDefault="0061652C" w:rsidP="0061652C">
      <w:pPr>
        <w:pStyle w:val="PargrafodaLista"/>
        <w:numPr>
          <w:ilvl w:val="1"/>
          <w:numId w:val="24"/>
        </w:numPr>
        <w:spacing w:after="120" w:line="360" w:lineRule="auto"/>
        <w:jc w:val="both"/>
        <w:rPr>
          <w:rFonts w:eastAsia="Times New Roman" w:cs="Arial"/>
          <w:color w:val="666666"/>
          <w:lang w:eastAsia="pt-PT"/>
        </w:rPr>
      </w:pPr>
      <w:r w:rsidRPr="0061652C">
        <w:rPr>
          <w:rFonts w:eastAsia="Times New Roman" w:cs="Arial"/>
          <w:b/>
          <w:bCs/>
          <w:color w:val="666666"/>
          <w:bdr w:val="none" w:sz="0" w:space="0" w:color="auto" w:frame="1"/>
          <w:lang w:eastAsia="pt-PT"/>
        </w:rPr>
        <w:t>ÁREAS DE USO COMUM</w:t>
      </w:r>
      <w:r w:rsidRPr="0061652C">
        <w:rPr>
          <w:rFonts w:eastAsia="Times New Roman" w:cs="Arial"/>
          <w:color w:val="666666"/>
          <w:bdr w:val="none" w:sz="0" w:space="0" w:color="auto" w:frame="1"/>
          <w:lang w:eastAsia="pt-PT"/>
        </w:rPr>
        <w:t>: quanto às áreas de uso comum, área coberta ou descoberta situada nos diversos pavimentos da edificação e fora dos limites de uso privativo que pode ser utilizada em comum por todos ou por parte dos titulares de direito sobre as unidades autônomas;</w:t>
      </w:r>
    </w:p>
    <w:p w:rsidR="0061652C" w:rsidRPr="0061652C" w:rsidRDefault="0061652C" w:rsidP="0061652C">
      <w:pPr>
        <w:pStyle w:val="PargrafodaLista"/>
        <w:numPr>
          <w:ilvl w:val="1"/>
          <w:numId w:val="24"/>
        </w:numPr>
        <w:spacing w:after="120" w:line="360" w:lineRule="auto"/>
        <w:jc w:val="both"/>
        <w:rPr>
          <w:rFonts w:eastAsia="Times New Roman" w:cs="Arial"/>
          <w:color w:val="666666"/>
          <w:lang w:eastAsia="pt-PT"/>
        </w:rPr>
      </w:pPr>
      <w:r w:rsidRPr="0061652C">
        <w:rPr>
          <w:rFonts w:eastAsia="Times New Roman" w:cs="Arial"/>
          <w:b/>
          <w:bCs/>
          <w:color w:val="666666"/>
          <w:bdr w:val="none" w:sz="0" w:space="0" w:color="auto" w:frame="1"/>
          <w:lang w:eastAsia="pt-PT"/>
        </w:rPr>
        <w:t>GARAGEM</w:t>
      </w:r>
      <w:r w:rsidRPr="0061652C">
        <w:rPr>
          <w:rFonts w:eastAsia="Times New Roman" w:cs="Arial"/>
          <w:color w:val="666666"/>
          <w:bdr w:val="none" w:sz="0" w:space="0" w:color="auto" w:frame="1"/>
          <w:lang w:eastAsia="pt-PT"/>
        </w:rPr>
        <w:t xml:space="preserve">: declaração sobre as garagens, indicando sua área, número de veículos que comporta, tipo de veículo (porte médio, </w:t>
      </w:r>
      <w:proofErr w:type="gramStart"/>
      <w:r w:rsidRPr="0061652C">
        <w:rPr>
          <w:rFonts w:eastAsia="Times New Roman" w:cs="Arial"/>
          <w:color w:val="666666"/>
          <w:bdr w:val="none" w:sz="0" w:space="0" w:color="auto" w:frame="1"/>
          <w:lang w:eastAsia="pt-PT"/>
        </w:rPr>
        <w:t>etc ...</w:t>
      </w:r>
      <w:proofErr w:type="gramEnd"/>
      <w:r w:rsidRPr="0061652C">
        <w:rPr>
          <w:rFonts w:eastAsia="Times New Roman" w:cs="Arial"/>
          <w:color w:val="666666"/>
          <w:bdr w:val="none" w:sz="0" w:space="0" w:color="auto" w:frame="1"/>
          <w:lang w:eastAsia="pt-PT"/>
        </w:rPr>
        <w:t xml:space="preserve">), a forma de utilização de seu espaço (vaga em local discriminado ou não). Não será </w:t>
      </w:r>
      <w:r w:rsidRPr="0061652C">
        <w:rPr>
          <w:rFonts w:eastAsia="Times New Roman" w:cs="Arial"/>
          <w:color w:val="666666"/>
          <w:bdr w:val="none" w:sz="0" w:space="0" w:color="auto" w:frame="1"/>
          <w:lang w:eastAsia="pt-PT"/>
        </w:rPr>
        <w:lastRenderedPageBreak/>
        <w:t xml:space="preserve">necessária esta declaração se cada vaga ou </w:t>
      </w:r>
      <w:proofErr w:type="gramStart"/>
      <w:r w:rsidRPr="0061652C">
        <w:rPr>
          <w:rFonts w:eastAsia="Times New Roman" w:cs="Arial"/>
          <w:color w:val="666666"/>
          <w:bdr w:val="none" w:sz="0" w:space="0" w:color="auto" w:frame="1"/>
          <w:lang w:eastAsia="pt-PT"/>
        </w:rPr>
        <w:t>box</w:t>
      </w:r>
      <w:proofErr w:type="gramEnd"/>
      <w:r w:rsidRPr="0061652C">
        <w:rPr>
          <w:rFonts w:eastAsia="Times New Roman" w:cs="Arial"/>
          <w:color w:val="666666"/>
          <w:bdr w:val="none" w:sz="0" w:space="0" w:color="auto" w:frame="1"/>
          <w:lang w:eastAsia="pt-PT"/>
        </w:rPr>
        <w:t xml:space="preserve"> se constituir em unidade autônoma. </w:t>
      </w:r>
      <w:r w:rsidRPr="0061652C">
        <w:rPr>
          <w:rFonts w:eastAsia="Times New Roman" w:cs="Arial"/>
          <w:color w:val="666666"/>
          <w:u w:val="single"/>
          <w:bdr w:val="none" w:sz="0" w:space="0" w:color="auto" w:frame="1"/>
          <w:lang w:eastAsia="pt-PT"/>
        </w:rPr>
        <w:t>Ainda quanto à garagem, sua caracterização segundo a NBR</w:t>
      </w:r>
      <w:r w:rsidRPr="0061652C">
        <w:rPr>
          <w:rFonts w:eastAsia="Times New Roman" w:cs="Arial"/>
          <w:color w:val="666666"/>
          <w:bdr w:val="none" w:sz="0" w:space="0" w:color="auto" w:frame="1"/>
          <w:lang w:eastAsia="pt-PT"/>
        </w:rPr>
        <w:t>, que define as vagas de garagem como áreas destinadas ao estacionamento de veículo automotor, da seguinte forma:</w:t>
      </w:r>
    </w:p>
    <w:p w:rsidR="0061652C" w:rsidRPr="0061652C" w:rsidRDefault="0061652C" w:rsidP="0061652C">
      <w:pPr>
        <w:pStyle w:val="PargrafodaLista"/>
        <w:numPr>
          <w:ilvl w:val="2"/>
          <w:numId w:val="24"/>
        </w:numPr>
        <w:spacing w:after="120" w:line="360" w:lineRule="auto"/>
        <w:jc w:val="both"/>
        <w:rPr>
          <w:rFonts w:eastAsia="Times New Roman" w:cs="Arial"/>
          <w:color w:val="666666"/>
          <w:lang w:eastAsia="pt-PT"/>
        </w:rPr>
      </w:pPr>
      <w:r w:rsidRPr="0061652C">
        <w:rPr>
          <w:rFonts w:eastAsia="Times New Roman" w:cs="Arial"/>
          <w:color w:val="666666"/>
          <w:bdr w:val="none" w:sz="0" w:space="0" w:color="auto" w:frame="1"/>
          <w:lang w:eastAsia="pt-PT"/>
        </w:rPr>
        <w:t>Área de vaga de </w:t>
      </w:r>
      <w:r w:rsidRPr="0061652C">
        <w:rPr>
          <w:rFonts w:eastAsia="Times New Roman" w:cs="Arial"/>
          <w:color w:val="666666"/>
          <w:u w:val="single"/>
          <w:bdr w:val="none" w:sz="0" w:space="0" w:color="auto" w:frame="1"/>
          <w:lang w:eastAsia="pt-PT"/>
        </w:rPr>
        <w:t>garagem vinculada à unidade autônoma</w:t>
      </w:r>
      <w:r w:rsidRPr="0061652C">
        <w:rPr>
          <w:rFonts w:eastAsia="Times New Roman" w:cs="Arial"/>
          <w:color w:val="666666"/>
          <w:bdr w:val="none" w:sz="0" w:space="0" w:color="auto" w:frame="1"/>
          <w:lang w:eastAsia="pt-PT"/>
        </w:rPr>
        <w:t>, assim considerada a área coberta ou descoberta de estacionamento privativo de veículo automotor, demarcada e identificada em projeto arquitetônico e vinculada à área privativa principal da unidade autônoma por direito de propriedade, sem atribuição de fração ideal específica no terreno e partes comuns do edifício, podendo ser identificada como unidade acessória;</w:t>
      </w:r>
    </w:p>
    <w:p w:rsidR="0061652C" w:rsidRPr="0061652C" w:rsidRDefault="0061652C" w:rsidP="0061652C">
      <w:pPr>
        <w:pStyle w:val="PargrafodaLista"/>
        <w:numPr>
          <w:ilvl w:val="2"/>
          <w:numId w:val="24"/>
        </w:numPr>
        <w:spacing w:after="120" w:line="360" w:lineRule="auto"/>
        <w:jc w:val="both"/>
        <w:rPr>
          <w:rFonts w:eastAsia="Times New Roman" w:cs="Arial"/>
          <w:color w:val="666666"/>
          <w:lang w:eastAsia="pt-PT"/>
        </w:rPr>
      </w:pPr>
      <w:r w:rsidRPr="0061652C">
        <w:rPr>
          <w:rFonts w:eastAsia="Times New Roman" w:cs="Arial"/>
          <w:color w:val="666666"/>
          <w:bdr w:val="none" w:sz="0" w:space="0" w:color="auto" w:frame="1"/>
          <w:lang w:eastAsia="pt-PT"/>
        </w:rPr>
        <w:t>Área de vaga de </w:t>
      </w:r>
      <w:r w:rsidRPr="0061652C">
        <w:rPr>
          <w:rFonts w:eastAsia="Times New Roman" w:cs="Arial"/>
          <w:color w:val="666666"/>
          <w:u w:val="single"/>
          <w:bdr w:val="none" w:sz="0" w:space="0" w:color="auto" w:frame="1"/>
          <w:lang w:eastAsia="pt-PT"/>
        </w:rPr>
        <w:t>garagem como unidade autônoma</w:t>
      </w:r>
      <w:r w:rsidRPr="0061652C">
        <w:rPr>
          <w:rFonts w:eastAsia="Times New Roman" w:cs="Arial"/>
          <w:color w:val="666666"/>
          <w:bdr w:val="none" w:sz="0" w:space="0" w:color="auto" w:frame="1"/>
          <w:lang w:eastAsia="pt-PT"/>
        </w:rPr>
        <w:t>, assim considerada a área coberta ou descoberta de estacionamento privativo de veículo automotor, demarcada e identificada em projeto arquitetônico, com acesso que independe da ocupação das demais vagas consideradas unidades autônomas ou de uso comum e indeterminado, que será identificada como unidade autônoma, com fração ideal própria no terreno e partes comuns do edifício;</w:t>
      </w:r>
    </w:p>
    <w:p w:rsidR="0061652C" w:rsidRPr="0061652C" w:rsidRDefault="0061652C" w:rsidP="0061652C">
      <w:pPr>
        <w:pStyle w:val="PargrafodaLista"/>
        <w:numPr>
          <w:ilvl w:val="2"/>
          <w:numId w:val="24"/>
        </w:numPr>
        <w:spacing w:after="120" w:line="360" w:lineRule="auto"/>
        <w:jc w:val="both"/>
        <w:rPr>
          <w:rFonts w:eastAsia="Times New Roman" w:cs="Arial"/>
          <w:color w:val="666666"/>
          <w:lang w:eastAsia="pt-PT"/>
        </w:rPr>
      </w:pPr>
      <w:r w:rsidRPr="0061652C">
        <w:rPr>
          <w:rFonts w:eastAsia="Times New Roman" w:cs="Arial"/>
          <w:color w:val="666666"/>
          <w:bdr w:val="none" w:sz="0" w:space="0" w:color="auto" w:frame="1"/>
          <w:lang w:eastAsia="pt-PT"/>
        </w:rPr>
        <w:t>Área de vaga de </w:t>
      </w:r>
      <w:r w:rsidRPr="0061652C">
        <w:rPr>
          <w:rFonts w:eastAsia="Times New Roman" w:cs="Arial"/>
          <w:color w:val="666666"/>
          <w:u w:val="single"/>
          <w:bdr w:val="none" w:sz="0" w:space="0" w:color="auto" w:frame="1"/>
          <w:lang w:eastAsia="pt-PT"/>
        </w:rPr>
        <w:t>garagem de uso comum e indeterminado</w:t>
      </w:r>
      <w:r w:rsidRPr="0061652C">
        <w:rPr>
          <w:rFonts w:eastAsia="Times New Roman" w:cs="Arial"/>
          <w:color w:val="666666"/>
          <w:bdr w:val="none" w:sz="0" w:space="0" w:color="auto" w:frame="1"/>
          <w:lang w:eastAsia="pt-PT"/>
        </w:rPr>
        <w:t>, assim considerada a área coberta ou descoberta de estacionamento privativo de veículo automotor, demarcada e identificada em projeto tão somente para efeito de quantificação e disponibilidade e que pertence à área de uso comum do empreendimento.</w:t>
      </w:r>
    </w:p>
    <w:p w:rsidR="0061652C" w:rsidRPr="0061652C" w:rsidRDefault="0061652C" w:rsidP="0061652C">
      <w:pPr>
        <w:pStyle w:val="PargrafodaLista"/>
        <w:numPr>
          <w:ilvl w:val="1"/>
          <w:numId w:val="24"/>
        </w:numPr>
        <w:spacing w:after="120" w:line="360" w:lineRule="auto"/>
        <w:jc w:val="both"/>
        <w:rPr>
          <w:rFonts w:eastAsia="Times New Roman" w:cs="Arial"/>
          <w:color w:val="666666"/>
          <w:lang w:eastAsia="pt-PT"/>
        </w:rPr>
      </w:pPr>
      <w:r w:rsidRPr="0061652C">
        <w:rPr>
          <w:rFonts w:eastAsia="Times New Roman" w:cs="Arial"/>
          <w:b/>
          <w:color w:val="666666"/>
          <w:bdr w:val="none" w:sz="0" w:space="0" w:color="auto" w:frame="1"/>
          <w:lang w:eastAsia="pt-PT"/>
        </w:rPr>
        <w:t>CUSTO DO EMPREENDIMENTO</w:t>
      </w:r>
      <w:r w:rsidRPr="0061652C">
        <w:rPr>
          <w:rFonts w:eastAsia="Times New Roman" w:cs="Arial"/>
          <w:color w:val="666666"/>
          <w:bdr w:val="none" w:sz="0" w:space="0" w:color="auto" w:frame="1"/>
          <w:lang w:eastAsia="pt-PT"/>
        </w:rPr>
        <w:t>: O custo do empreendimento constitui-se na soma do valor da construção (quadro IV-A da NBR 12.721/2006 atualizado) mais o valor do terreno (conforme guias de IPTU ou o valor de aquisição, o que for maior).</w:t>
      </w:r>
    </w:p>
    <w:p w:rsidR="0061652C" w:rsidRPr="0061652C" w:rsidRDefault="0061652C" w:rsidP="0061652C">
      <w:pPr>
        <w:pStyle w:val="PargrafodaLista"/>
        <w:numPr>
          <w:ilvl w:val="1"/>
          <w:numId w:val="24"/>
        </w:numPr>
        <w:spacing w:after="120" w:line="360" w:lineRule="auto"/>
        <w:jc w:val="both"/>
        <w:rPr>
          <w:rFonts w:eastAsia="Times New Roman" w:cs="Arial"/>
          <w:color w:val="666666"/>
          <w:lang w:eastAsia="pt-PT"/>
        </w:rPr>
      </w:pPr>
      <w:r w:rsidRPr="0061652C">
        <w:rPr>
          <w:rFonts w:eastAsia="Times New Roman" w:cs="Arial"/>
          <w:b/>
          <w:color w:val="666666"/>
          <w:bdr w:val="none" w:sz="0" w:space="0" w:color="auto" w:frame="1"/>
          <w:lang w:eastAsia="pt-PT"/>
        </w:rPr>
        <w:t>CUSTO DE CADA UNIDADE</w:t>
      </w:r>
      <w:r w:rsidRPr="0061652C">
        <w:rPr>
          <w:rFonts w:eastAsia="Times New Roman" w:cs="Arial"/>
          <w:color w:val="666666"/>
          <w:bdr w:val="none" w:sz="0" w:space="0" w:color="auto" w:frame="1"/>
          <w:lang w:eastAsia="pt-PT"/>
        </w:rPr>
        <w:t>: O custo de cada unidade será calculado pela multiplicação do Custo total do Empreendimento pela fração ideal da unidade.</w:t>
      </w:r>
    </w:p>
    <w:p w:rsidR="0061652C" w:rsidRPr="0061652C" w:rsidRDefault="0061652C" w:rsidP="0061652C">
      <w:pPr>
        <w:pStyle w:val="PargrafodaLista"/>
        <w:numPr>
          <w:ilvl w:val="0"/>
          <w:numId w:val="23"/>
        </w:numPr>
        <w:spacing w:after="120" w:line="360" w:lineRule="auto"/>
        <w:jc w:val="both"/>
        <w:rPr>
          <w:rFonts w:eastAsia="Times New Roman" w:cs="Arial"/>
          <w:color w:val="666666"/>
          <w:lang w:eastAsia="pt-PT"/>
        </w:rPr>
      </w:pPr>
      <w:r w:rsidRPr="0061652C">
        <w:rPr>
          <w:rFonts w:eastAsia="Times New Roman" w:cs="Arial"/>
          <w:b/>
          <w:color w:val="666666"/>
          <w:bdr w:val="none" w:sz="0" w:space="0" w:color="auto" w:frame="1"/>
          <w:lang w:eastAsia="pt-PT"/>
        </w:rPr>
        <w:t>PROJETOS DE CONSTRUÇÃO</w:t>
      </w:r>
      <w:r w:rsidRPr="0061652C">
        <w:rPr>
          <w:rFonts w:eastAsia="Times New Roman" w:cs="Arial"/>
          <w:color w:val="666666"/>
          <w:bdr w:val="none" w:sz="0" w:space="0" w:color="auto" w:frame="1"/>
          <w:lang w:eastAsia="pt-PT"/>
        </w:rPr>
        <w:t xml:space="preserve"> (somente arquitetônicos) devidamente aprovados (originais ou cópias autenticadas).</w:t>
      </w:r>
    </w:p>
    <w:p w:rsidR="0061652C" w:rsidRPr="0061652C" w:rsidRDefault="0061652C" w:rsidP="0061652C">
      <w:pPr>
        <w:pStyle w:val="PargrafodaLista"/>
        <w:numPr>
          <w:ilvl w:val="0"/>
          <w:numId w:val="23"/>
        </w:numPr>
        <w:spacing w:after="120" w:line="360" w:lineRule="auto"/>
        <w:jc w:val="both"/>
        <w:rPr>
          <w:rFonts w:eastAsia="Times New Roman" w:cs="Arial"/>
          <w:color w:val="666666"/>
          <w:lang w:eastAsia="pt-PT"/>
        </w:rPr>
      </w:pPr>
      <w:r w:rsidRPr="0061652C">
        <w:rPr>
          <w:rFonts w:eastAsia="Times New Roman" w:cs="Arial"/>
          <w:b/>
          <w:color w:val="666666"/>
          <w:bdr w:val="none" w:sz="0" w:space="0" w:color="auto" w:frame="1"/>
          <w:lang w:eastAsia="pt-PT"/>
        </w:rPr>
        <w:t>QUADROS DA NBR</w:t>
      </w:r>
      <w:r w:rsidRPr="0061652C">
        <w:rPr>
          <w:rFonts w:eastAsia="Times New Roman" w:cs="Arial"/>
          <w:color w:val="666666"/>
          <w:bdr w:val="none" w:sz="0" w:space="0" w:color="auto" w:frame="1"/>
          <w:lang w:eastAsia="pt-PT"/>
        </w:rPr>
        <w:t xml:space="preserve"> 12.721/2006 Preliminar, os quadros I, II, III, IV-A, IV-B e V – subscrito pelos proprietários e pelo profissional responsável pelos cálculos, com firmas reconhecidas.</w:t>
      </w:r>
    </w:p>
    <w:p w:rsidR="0061652C" w:rsidRPr="0061652C" w:rsidRDefault="0061652C" w:rsidP="0061652C">
      <w:pPr>
        <w:pStyle w:val="PargrafodaLista"/>
        <w:numPr>
          <w:ilvl w:val="0"/>
          <w:numId w:val="23"/>
        </w:numPr>
        <w:spacing w:after="120" w:line="360" w:lineRule="auto"/>
        <w:jc w:val="both"/>
        <w:rPr>
          <w:rFonts w:eastAsia="Times New Roman" w:cs="Arial"/>
          <w:color w:val="666666"/>
          <w:lang w:eastAsia="pt-PT"/>
        </w:rPr>
      </w:pPr>
      <w:r w:rsidRPr="0061652C">
        <w:rPr>
          <w:rFonts w:eastAsia="Times New Roman" w:cs="Arial"/>
          <w:b/>
          <w:bCs/>
          <w:color w:val="666666"/>
          <w:bdr w:val="none" w:sz="0" w:space="0" w:color="auto" w:frame="1"/>
          <w:lang w:eastAsia="pt-PT"/>
        </w:rPr>
        <w:lastRenderedPageBreak/>
        <w:t>A.R.T./CREA ou RRT/CAU</w:t>
      </w:r>
      <w:r w:rsidRPr="0061652C">
        <w:rPr>
          <w:rFonts w:eastAsia="Times New Roman" w:cs="Arial"/>
          <w:color w:val="666666"/>
          <w:bdr w:val="none" w:sz="0" w:space="0" w:color="auto" w:frame="1"/>
          <w:lang w:eastAsia="pt-PT"/>
        </w:rPr>
        <w:t>: relativamente ao projeto arquitetônico e aos cálculos e os correspondentes comprovantes de pagamento (original ou cópia autenticada).</w:t>
      </w:r>
    </w:p>
    <w:p w:rsidR="0061652C" w:rsidRPr="0061652C" w:rsidRDefault="0061652C" w:rsidP="0061652C">
      <w:pPr>
        <w:pStyle w:val="PargrafodaLista"/>
        <w:numPr>
          <w:ilvl w:val="0"/>
          <w:numId w:val="23"/>
        </w:numPr>
        <w:spacing w:after="120" w:line="360" w:lineRule="auto"/>
        <w:jc w:val="both"/>
        <w:rPr>
          <w:rFonts w:eastAsia="Times New Roman" w:cs="Arial"/>
          <w:color w:val="666666"/>
          <w:lang w:eastAsia="pt-PT"/>
        </w:rPr>
      </w:pPr>
      <w:r w:rsidRPr="0061652C">
        <w:rPr>
          <w:rFonts w:eastAsia="Times New Roman" w:cs="Arial"/>
          <w:b/>
          <w:bCs/>
          <w:color w:val="666666"/>
          <w:bdr w:val="none" w:sz="0" w:space="0" w:color="auto" w:frame="1"/>
          <w:lang w:eastAsia="pt-PT"/>
        </w:rPr>
        <w:t>GUIA DO ÚLTIMO IPTU</w:t>
      </w:r>
      <w:r w:rsidRPr="0061652C">
        <w:rPr>
          <w:rFonts w:eastAsia="Times New Roman" w:cs="Arial"/>
          <w:color w:val="666666"/>
          <w:bdr w:val="none" w:sz="0" w:space="0" w:color="auto" w:frame="1"/>
          <w:lang w:eastAsia="pt-PT"/>
        </w:rPr>
        <w:t> ou Boletim Imobiliário relativamente ao terreno ou terrenos.</w:t>
      </w:r>
    </w:p>
    <w:p w:rsidR="0061652C" w:rsidRPr="0061652C" w:rsidRDefault="0061652C" w:rsidP="0061652C">
      <w:pPr>
        <w:pStyle w:val="PargrafodaLista"/>
        <w:numPr>
          <w:ilvl w:val="0"/>
          <w:numId w:val="23"/>
        </w:numPr>
        <w:spacing w:after="120" w:line="360" w:lineRule="auto"/>
        <w:jc w:val="both"/>
        <w:rPr>
          <w:rFonts w:eastAsia="Times New Roman" w:cs="Arial"/>
          <w:color w:val="666666"/>
          <w:lang w:eastAsia="pt-PT"/>
        </w:rPr>
      </w:pPr>
      <w:r w:rsidRPr="0061652C">
        <w:rPr>
          <w:rFonts w:eastAsia="Times New Roman" w:cs="Arial"/>
          <w:b/>
          <w:bCs/>
          <w:color w:val="666666"/>
          <w:bdr w:val="none" w:sz="0" w:space="0" w:color="auto" w:frame="1"/>
          <w:lang w:eastAsia="pt-PT"/>
        </w:rPr>
        <w:t>CONVENÇÃO DE CONDOMÍNIO</w:t>
      </w:r>
      <w:r w:rsidRPr="0061652C">
        <w:rPr>
          <w:rFonts w:eastAsia="Times New Roman" w:cs="Arial"/>
          <w:color w:val="666666"/>
          <w:bdr w:val="none" w:sz="0" w:space="0" w:color="auto" w:frame="1"/>
          <w:lang w:eastAsia="pt-PT"/>
        </w:rPr>
        <w:t xml:space="preserve"> – a ser elaborada conforme as normas contidas no Código Civil, artigos 1.333 e </w:t>
      </w:r>
      <w:proofErr w:type="gramStart"/>
      <w:r w:rsidRPr="0061652C">
        <w:rPr>
          <w:rFonts w:eastAsia="Times New Roman" w:cs="Arial"/>
          <w:color w:val="666666"/>
          <w:bdr w:val="none" w:sz="0" w:space="0" w:color="auto" w:frame="1"/>
          <w:lang w:eastAsia="pt-PT"/>
        </w:rPr>
        <w:t>seguintes, subscrita</w:t>
      </w:r>
      <w:proofErr w:type="gramEnd"/>
      <w:r w:rsidRPr="0061652C">
        <w:rPr>
          <w:rFonts w:eastAsia="Times New Roman" w:cs="Arial"/>
          <w:color w:val="666666"/>
          <w:bdr w:val="none" w:sz="0" w:space="0" w:color="auto" w:frame="1"/>
          <w:lang w:eastAsia="pt-PT"/>
        </w:rPr>
        <w:t xml:space="preserve"> pelos titulares de direitos sobre as frações ideais, com firma reconhecida de todos, devendo conter no mínimo as seguintes cláusulas: I - a discriminação e individualização das unidades de propriedade exclusiva, estremadas uma das outras e das partes comuns; II - a determinação da fração ideal atribuída a cada unidade, relativamente ao terreno e partes comuns;  III - o fim a que as unidades se destinam; IV - a quota proporcional e o modo de pagamento das contribuições dos condôminos para atender às despesas ordinárias e extraordinárias do condomínio; V - sua forma de administração; VI- a competência das assembléias, forma de sua convocação e quorum exigido para as deliberações; VII - as sanções a que estão sujeitos os condôminos, ou possuidores; VIII - o regimento interno.</w:t>
      </w:r>
    </w:p>
    <w:p w:rsidR="0061652C" w:rsidRPr="0061652C" w:rsidRDefault="0061652C" w:rsidP="0061652C">
      <w:pPr>
        <w:pStyle w:val="PargrafodaLista"/>
        <w:numPr>
          <w:ilvl w:val="0"/>
          <w:numId w:val="23"/>
        </w:numPr>
        <w:spacing w:after="120" w:line="360" w:lineRule="auto"/>
        <w:jc w:val="both"/>
        <w:rPr>
          <w:rFonts w:eastAsia="Times New Roman" w:cs="Arial"/>
          <w:color w:val="666666"/>
          <w:lang w:eastAsia="pt-PT"/>
        </w:rPr>
      </w:pPr>
      <w:r w:rsidRPr="0061652C">
        <w:rPr>
          <w:rFonts w:eastAsia="Times New Roman" w:cs="Arial"/>
          <w:color w:val="666666"/>
          <w:bdr w:val="none" w:sz="0" w:space="0" w:color="auto" w:frame="1"/>
          <w:lang w:eastAsia="pt-PT"/>
        </w:rPr>
        <w:t>O construtor ou construtores que </w:t>
      </w:r>
      <w:r w:rsidRPr="0061652C">
        <w:rPr>
          <w:rFonts w:eastAsia="Times New Roman" w:cs="Arial"/>
          <w:b/>
          <w:bCs/>
          <w:color w:val="666666"/>
          <w:bdr w:val="none" w:sz="0" w:space="0" w:color="auto" w:frame="1"/>
          <w:lang w:eastAsia="pt-PT"/>
        </w:rPr>
        <w:t>INSTITUÍREM O CONDOMÍNIO ANTES DA EMISSÃO DO “HABITE-SE”</w:t>
      </w:r>
      <w:r w:rsidRPr="0061652C">
        <w:rPr>
          <w:rFonts w:eastAsia="Times New Roman" w:cs="Arial"/>
          <w:color w:val="666666"/>
          <w:bdr w:val="none" w:sz="0" w:space="0" w:color="auto" w:frame="1"/>
          <w:lang w:eastAsia="pt-PT"/>
        </w:rPr>
        <w:t xml:space="preserve">, conforme regras dos arts. 7º e 8º da Lei nº 4.591/1964 ou do art. 1.332 do Código Civil, terão, obrigatoriamente, que apresentar declaração em requerimento escrito, com firma reconhecida, de que não farão oferta pública das unidades até que elas </w:t>
      </w:r>
      <w:proofErr w:type="gramStart"/>
      <w:r w:rsidRPr="0061652C">
        <w:rPr>
          <w:rFonts w:eastAsia="Times New Roman" w:cs="Arial"/>
          <w:color w:val="666666"/>
          <w:bdr w:val="none" w:sz="0" w:space="0" w:color="auto" w:frame="1"/>
          <w:lang w:eastAsia="pt-PT"/>
        </w:rPr>
        <w:t>obtenham,</w:t>
      </w:r>
      <w:proofErr w:type="gramEnd"/>
      <w:r w:rsidRPr="0061652C">
        <w:rPr>
          <w:rFonts w:eastAsia="Times New Roman" w:cs="Arial"/>
          <w:color w:val="666666"/>
          <w:bdr w:val="none" w:sz="0" w:space="0" w:color="auto" w:frame="1"/>
          <w:lang w:eastAsia="pt-PT"/>
        </w:rPr>
        <w:t xml:space="preserve"> cada uma, seu respectivo “habite-se”, devidamente averbado no Ofício de Registro de Imóveis, ficando cientificados de que a venda, promessa ou cessão de direitos antes da conclusão da obra só poderá ser feita mediante arquivamento dos documentos previstos no art. 32 da Lei nº 4.591/1964 na serventia.</w:t>
      </w:r>
    </w:p>
    <w:p w:rsidR="0061652C" w:rsidRPr="0061652C" w:rsidRDefault="0061652C" w:rsidP="0061652C">
      <w:pPr>
        <w:pStyle w:val="PargrafodaLista"/>
        <w:numPr>
          <w:ilvl w:val="0"/>
          <w:numId w:val="23"/>
        </w:numPr>
        <w:spacing w:after="120" w:line="360" w:lineRule="auto"/>
        <w:jc w:val="both"/>
        <w:rPr>
          <w:rFonts w:eastAsia="Times New Roman" w:cs="Arial"/>
          <w:color w:val="666666"/>
          <w:lang w:eastAsia="pt-PT"/>
        </w:rPr>
      </w:pPr>
      <w:r w:rsidRPr="0061652C">
        <w:rPr>
          <w:rFonts w:eastAsia="Times New Roman" w:cs="Arial"/>
          <w:b/>
          <w:bCs/>
          <w:color w:val="666666"/>
          <w:bdr w:val="none" w:sz="0" w:space="0" w:color="auto" w:frame="1"/>
          <w:lang w:eastAsia="pt-PT"/>
        </w:rPr>
        <w:t>ALVARÁ DE CONSTRUÇÃO</w:t>
      </w:r>
      <w:r w:rsidRPr="0061652C">
        <w:rPr>
          <w:rFonts w:eastAsia="Times New Roman" w:cs="Arial"/>
          <w:color w:val="666666"/>
          <w:bdr w:val="none" w:sz="0" w:space="0" w:color="auto" w:frame="1"/>
          <w:lang w:eastAsia="pt-PT"/>
        </w:rPr>
        <w:t> em vigor para o empreendimento, quando este estiver </w:t>
      </w:r>
      <w:r w:rsidRPr="0061652C">
        <w:rPr>
          <w:rFonts w:eastAsia="Times New Roman" w:cs="Arial"/>
          <w:b/>
          <w:bCs/>
          <w:color w:val="666666"/>
          <w:bdr w:val="none" w:sz="0" w:space="0" w:color="auto" w:frame="1"/>
          <w:lang w:eastAsia="pt-PT"/>
        </w:rPr>
        <w:t>em fase de construção</w:t>
      </w:r>
      <w:r w:rsidRPr="0061652C">
        <w:rPr>
          <w:rFonts w:eastAsia="Times New Roman" w:cs="Arial"/>
          <w:color w:val="666666"/>
          <w:bdr w:val="none" w:sz="0" w:space="0" w:color="auto" w:frame="1"/>
          <w:lang w:eastAsia="pt-PT"/>
        </w:rPr>
        <w:t>; ou, </w:t>
      </w:r>
      <w:r w:rsidRPr="0061652C">
        <w:rPr>
          <w:rFonts w:eastAsia="Times New Roman" w:cs="Arial"/>
          <w:b/>
          <w:bCs/>
          <w:color w:val="666666"/>
          <w:bdr w:val="none" w:sz="0" w:space="0" w:color="auto" w:frame="1"/>
          <w:lang w:eastAsia="pt-PT"/>
        </w:rPr>
        <w:t>caso as obras já estejam concluídas e NÃO AVERBADAS</w:t>
      </w:r>
      <w:r w:rsidRPr="0061652C">
        <w:rPr>
          <w:rFonts w:eastAsia="Times New Roman" w:cs="Arial"/>
          <w:color w:val="666666"/>
          <w:bdr w:val="none" w:sz="0" w:space="0" w:color="auto" w:frame="1"/>
          <w:lang w:eastAsia="pt-PT"/>
        </w:rPr>
        <w:t>, esse alvará será substituído por:</w:t>
      </w:r>
    </w:p>
    <w:p w:rsidR="0061652C" w:rsidRPr="0061652C" w:rsidRDefault="0061652C" w:rsidP="0061652C">
      <w:pPr>
        <w:pStyle w:val="PargrafodaLista"/>
        <w:numPr>
          <w:ilvl w:val="1"/>
          <w:numId w:val="23"/>
        </w:numPr>
        <w:spacing w:after="120" w:line="360" w:lineRule="auto"/>
        <w:jc w:val="both"/>
        <w:rPr>
          <w:rFonts w:eastAsia="Times New Roman" w:cs="Arial"/>
          <w:color w:val="666666"/>
          <w:lang w:eastAsia="pt-PT"/>
        </w:rPr>
      </w:pPr>
      <w:r w:rsidRPr="0061652C">
        <w:rPr>
          <w:rFonts w:eastAsia="Times New Roman" w:cs="Arial"/>
          <w:color w:val="666666"/>
          <w:bdr w:val="none" w:sz="0" w:space="0" w:color="auto" w:frame="1"/>
          <w:lang w:eastAsia="pt-PT"/>
        </w:rPr>
        <w:t>Certidão de baixa e “habite-se” para o empreendimento, em via original;</w:t>
      </w:r>
    </w:p>
    <w:p w:rsidR="0061652C" w:rsidRPr="0061652C" w:rsidRDefault="0061652C" w:rsidP="0061652C">
      <w:pPr>
        <w:pStyle w:val="PargrafodaLista"/>
        <w:numPr>
          <w:ilvl w:val="1"/>
          <w:numId w:val="23"/>
        </w:numPr>
        <w:spacing w:after="120" w:line="360" w:lineRule="auto"/>
        <w:jc w:val="both"/>
        <w:rPr>
          <w:rFonts w:eastAsia="Times New Roman" w:cs="Arial"/>
          <w:color w:val="666666"/>
          <w:lang w:eastAsia="pt-PT"/>
        </w:rPr>
      </w:pPr>
      <w:r w:rsidRPr="0061652C">
        <w:rPr>
          <w:rFonts w:eastAsia="Times New Roman" w:cs="Arial"/>
          <w:color w:val="666666"/>
          <w:bdr w:val="none" w:sz="0" w:space="0" w:color="auto" w:frame="1"/>
          <w:lang w:eastAsia="pt-PT"/>
        </w:rPr>
        <w:t>Certidão negativa de débitos para com o INSS referente à obra, também em via original.</w:t>
      </w:r>
    </w:p>
    <w:p w:rsidR="0061652C" w:rsidRPr="0061652C" w:rsidRDefault="0061652C" w:rsidP="0061652C">
      <w:pPr>
        <w:spacing w:after="120" w:line="360" w:lineRule="auto"/>
        <w:jc w:val="both"/>
        <w:rPr>
          <w:rFonts w:eastAsia="Times New Roman" w:cs="Arial"/>
          <w:color w:val="666666"/>
          <w:lang w:eastAsia="pt-PT"/>
        </w:rPr>
      </w:pPr>
      <w:r w:rsidRPr="0061652C">
        <w:rPr>
          <w:rFonts w:eastAsia="Times New Roman" w:cs="Arial"/>
          <w:b/>
          <w:bCs/>
          <w:color w:val="666666"/>
          <w:bdr w:val="none" w:sz="0" w:space="0" w:color="auto" w:frame="1"/>
          <w:lang w:eastAsia="pt-PT"/>
        </w:rPr>
        <w:t>Observações:</w:t>
      </w:r>
    </w:p>
    <w:p w:rsidR="0061652C" w:rsidRPr="0061652C" w:rsidRDefault="0061652C" w:rsidP="0061652C">
      <w:pPr>
        <w:pStyle w:val="PargrafodaLista"/>
        <w:numPr>
          <w:ilvl w:val="0"/>
          <w:numId w:val="25"/>
        </w:numPr>
        <w:spacing w:after="120" w:line="360" w:lineRule="auto"/>
        <w:jc w:val="both"/>
        <w:rPr>
          <w:rFonts w:eastAsia="Times New Roman" w:cs="Arial"/>
          <w:color w:val="666666"/>
          <w:lang w:eastAsia="pt-PT"/>
        </w:rPr>
      </w:pPr>
      <w:r w:rsidRPr="0061652C">
        <w:rPr>
          <w:rFonts w:eastAsia="Times New Roman" w:cs="Arial"/>
          <w:color w:val="666666"/>
          <w:bdr w:val="none" w:sz="0" w:space="0" w:color="auto" w:frame="1"/>
          <w:lang w:eastAsia="pt-PT"/>
        </w:rPr>
        <w:t xml:space="preserve">Os documentos poderão ser apresentados em duas vias, com as firmas de seus subscritores reconhecidas, nos documentos de ordem particular, exceção feita aos </w:t>
      </w:r>
      <w:r w:rsidRPr="0061652C">
        <w:rPr>
          <w:rFonts w:eastAsia="Times New Roman" w:cs="Arial"/>
          <w:color w:val="666666"/>
          <w:bdr w:val="none" w:sz="0" w:space="0" w:color="auto" w:frame="1"/>
          <w:lang w:eastAsia="pt-PT"/>
        </w:rPr>
        <w:lastRenderedPageBreak/>
        <w:t>documentos públicos. Caso seja apresentada apenas uma via, esta poderá ficará arquivada.</w:t>
      </w:r>
    </w:p>
    <w:p w:rsidR="0061652C" w:rsidRPr="0061652C" w:rsidRDefault="0061652C" w:rsidP="0061652C">
      <w:pPr>
        <w:pStyle w:val="PargrafodaLista"/>
        <w:numPr>
          <w:ilvl w:val="0"/>
          <w:numId w:val="25"/>
        </w:numPr>
        <w:spacing w:after="120" w:line="360" w:lineRule="auto"/>
        <w:jc w:val="both"/>
        <w:rPr>
          <w:rFonts w:eastAsia="Times New Roman" w:cs="Arial"/>
          <w:color w:val="666666"/>
          <w:lang w:eastAsia="pt-PT"/>
        </w:rPr>
      </w:pPr>
      <w:r w:rsidRPr="0061652C">
        <w:rPr>
          <w:rFonts w:eastAsia="Times New Roman" w:cs="Arial"/>
          <w:color w:val="666666"/>
          <w:bdr w:val="none" w:sz="0" w:space="0" w:color="auto" w:frame="1"/>
          <w:lang w:eastAsia="pt-PT"/>
        </w:rPr>
        <w:t>Caso o empreendimento venha a ser construído em mais de um lote deverá ser apresentado requerimento assinado por todos os proprietários (com firma reconhecida) solicitando a unificação dos lotes.</w:t>
      </w:r>
    </w:p>
    <w:p w:rsidR="0061652C" w:rsidRPr="0061652C" w:rsidRDefault="0061652C" w:rsidP="0061652C">
      <w:pPr>
        <w:pStyle w:val="PargrafodaLista"/>
        <w:numPr>
          <w:ilvl w:val="0"/>
          <w:numId w:val="25"/>
        </w:numPr>
        <w:spacing w:after="120" w:line="360" w:lineRule="auto"/>
        <w:jc w:val="both"/>
        <w:rPr>
          <w:rFonts w:eastAsia="Times New Roman" w:cs="Arial"/>
          <w:color w:val="666666"/>
          <w:lang w:eastAsia="pt-PT"/>
        </w:rPr>
      </w:pPr>
      <w:r w:rsidRPr="0061652C">
        <w:rPr>
          <w:rFonts w:eastAsia="Times New Roman" w:cs="Arial"/>
          <w:color w:val="666666"/>
          <w:bdr w:val="none" w:sz="0" w:space="0" w:color="auto" w:frame="1"/>
          <w:lang w:eastAsia="pt-PT"/>
        </w:rPr>
        <w:t>Caso as áreas constantes do projeto sejam divergentes da constante da matrícula ou da certidão de origem deverá se procedida a prévia retificação de área do imóvel, nos termos do art. 213 da Lei 6.015/73.</w:t>
      </w:r>
    </w:p>
    <w:p w:rsidR="0061652C" w:rsidRPr="0061652C" w:rsidRDefault="0061652C" w:rsidP="0061652C">
      <w:pPr>
        <w:pStyle w:val="PargrafodaLista"/>
        <w:numPr>
          <w:ilvl w:val="0"/>
          <w:numId w:val="25"/>
        </w:numPr>
        <w:spacing w:after="120" w:line="360" w:lineRule="auto"/>
        <w:jc w:val="both"/>
        <w:rPr>
          <w:rFonts w:eastAsia="Times New Roman" w:cs="Arial"/>
          <w:color w:val="666666"/>
          <w:lang w:eastAsia="pt-PT"/>
        </w:rPr>
      </w:pPr>
      <w:r w:rsidRPr="0061652C">
        <w:rPr>
          <w:rFonts w:eastAsia="Times New Roman" w:cs="Arial"/>
          <w:color w:val="666666"/>
          <w:bdr w:val="none" w:sz="0" w:space="0" w:color="auto" w:frame="1"/>
          <w:lang w:eastAsia="pt-PT"/>
        </w:rPr>
        <w:t xml:space="preserve">Encontra-se disponível no site </w:t>
      </w:r>
      <w:hyperlink r:id="rId6" w:history="1">
        <w:r w:rsidRPr="0061652C">
          <w:rPr>
            <w:rStyle w:val="Hyperlink"/>
            <w:rFonts w:eastAsia="Times New Roman" w:cs="Arial"/>
            <w:color w:val="666666"/>
            <w:bdr w:val="none" w:sz="0" w:space="0" w:color="auto" w:frame="1"/>
            <w:lang w:eastAsia="pt-PT"/>
          </w:rPr>
          <w:t>www.ripitangui.com.br</w:t>
        </w:r>
      </w:hyperlink>
      <w:r w:rsidRPr="0061652C">
        <w:rPr>
          <w:rFonts w:eastAsia="Times New Roman" w:cs="Arial"/>
          <w:color w:val="666666"/>
          <w:bdr w:val="none" w:sz="0" w:space="0" w:color="auto" w:frame="1"/>
          <w:lang w:eastAsia="pt-PT"/>
        </w:rPr>
        <w:t xml:space="preserve"> modelo de instituição e convenção de condomínio.</w:t>
      </w:r>
    </w:p>
    <w:p w:rsidR="00722623" w:rsidRPr="0061652C" w:rsidRDefault="00722623" w:rsidP="0061652C">
      <w:pPr>
        <w:spacing w:line="360" w:lineRule="auto"/>
      </w:pPr>
    </w:p>
    <w:sectPr w:rsidR="00722623" w:rsidRPr="006165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168"/>
    <w:multiLevelType w:val="multilevel"/>
    <w:tmpl w:val="43E2A6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559E5"/>
    <w:multiLevelType w:val="multilevel"/>
    <w:tmpl w:val="EE22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47F59"/>
    <w:multiLevelType w:val="multilevel"/>
    <w:tmpl w:val="8F1A6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67A80"/>
    <w:multiLevelType w:val="multilevel"/>
    <w:tmpl w:val="BC7EC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B2F0B"/>
    <w:multiLevelType w:val="multilevel"/>
    <w:tmpl w:val="0D1C2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8A6038"/>
    <w:multiLevelType w:val="multilevel"/>
    <w:tmpl w:val="211E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7C54AF"/>
    <w:multiLevelType w:val="multilevel"/>
    <w:tmpl w:val="261E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A17ED"/>
    <w:multiLevelType w:val="multilevel"/>
    <w:tmpl w:val="14B8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7D262E"/>
    <w:multiLevelType w:val="multilevel"/>
    <w:tmpl w:val="EB94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80BF4"/>
    <w:multiLevelType w:val="multilevel"/>
    <w:tmpl w:val="831E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72F48"/>
    <w:multiLevelType w:val="multilevel"/>
    <w:tmpl w:val="1C5E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A35EF7"/>
    <w:multiLevelType w:val="multilevel"/>
    <w:tmpl w:val="0B9A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323585"/>
    <w:multiLevelType w:val="multilevel"/>
    <w:tmpl w:val="F3968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B64AAA"/>
    <w:multiLevelType w:val="multilevel"/>
    <w:tmpl w:val="6472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F63082"/>
    <w:multiLevelType w:val="multilevel"/>
    <w:tmpl w:val="37701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C04F54"/>
    <w:multiLevelType w:val="hybridMultilevel"/>
    <w:tmpl w:val="89725AD0"/>
    <w:lvl w:ilvl="0" w:tplc="0816000F">
      <w:start w:val="1"/>
      <w:numFmt w:val="decimal"/>
      <w:lvlText w:val="%1."/>
      <w:lvlJc w:val="left"/>
      <w:pPr>
        <w:ind w:left="720" w:hanging="360"/>
      </w:pPr>
    </w:lvl>
    <w:lvl w:ilvl="1" w:tplc="5A283812">
      <w:start w:val="1"/>
      <w:numFmt w:val="lowerLetter"/>
      <w:lvlText w:val="%2)"/>
      <w:lvlJc w:val="left"/>
      <w:pPr>
        <w:ind w:left="1440" w:hanging="360"/>
      </w:pPr>
      <w:rPr>
        <w:rFonts w:hint="default"/>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3EAC18DB"/>
    <w:multiLevelType w:val="multilevel"/>
    <w:tmpl w:val="9FD89A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3085C0A"/>
    <w:multiLevelType w:val="multilevel"/>
    <w:tmpl w:val="6F18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33A25"/>
    <w:multiLevelType w:val="multilevel"/>
    <w:tmpl w:val="C4823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C549B3"/>
    <w:multiLevelType w:val="multilevel"/>
    <w:tmpl w:val="3BBA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64640C"/>
    <w:multiLevelType w:val="multilevel"/>
    <w:tmpl w:val="B32E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7E3657"/>
    <w:multiLevelType w:val="hybridMultilevel"/>
    <w:tmpl w:val="27901A2C"/>
    <w:lvl w:ilvl="0" w:tplc="08160019">
      <w:start w:val="1"/>
      <w:numFmt w:val="lowerLetter"/>
      <w:lvlText w:val="%1."/>
      <w:lvlJc w:val="left"/>
      <w:pPr>
        <w:ind w:left="930" w:hanging="360"/>
      </w:pPr>
    </w:lvl>
    <w:lvl w:ilvl="1" w:tplc="08160019">
      <w:start w:val="1"/>
      <w:numFmt w:val="lowerLetter"/>
      <w:lvlText w:val="%2."/>
      <w:lvlJc w:val="left"/>
      <w:pPr>
        <w:ind w:left="1650" w:hanging="360"/>
      </w:pPr>
    </w:lvl>
    <w:lvl w:ilvl="2" w:tplc="08160001">
      <w:start w:val="1"/>
      <w:numFmt w:val="bullet"/>
      <w:lvlText w:val=""/>
      <w:lvlJc w:val="left"/>
      <w:pPr>
        <w:ind w:left="2370" w:hanging="180"/>
      </w:pPr>
      <w:rPr>
        <w:rFonts w:ascii="Symbol" w:hAnsi="Symbol" w:hint="default"/>
      </w:rPr>
    </w:lvl>
    <w:lvl w:ilvl="3" w:tplc="0816000F" w:tentative="1">
      <w:start w:val="1"/>
      <w:numFmt w:val="decimal"/>
      <w:lvlText w:val="%4."/>
      <w:lvlJc w:val="left"/>
      <w:pPr>
        <w:ind w:left="3090" w:hanging="360"/>
      </w:pPr>
    </w:lvl>
    <w:lvl w:ilvl="4" w:tplc="08160019" w:tentative="1">
      <w:start w:val="1"/>
      <w:numFmt w:val="lowerLetter"/>
      <w:lvlText w:val="%5."/>
      <w:lvlJc w:val="left"/>
      <w:pPr>
        <w:ind w:left="3810" w:hanging="360"/>
      </w:pPr>
    </w:lvl>
    <w:lvl w:ilvl="5" w:tplc="0816001B" w:tentative="1">
      <w:start w:val="1"/>
      <w:numFmt w:val="lowerRoman"/>
      <w:lvlText w:val="%6."/>
      <w:lvlJc w:val="right"/>
      <w:pPr>
        <w:ind w:left="4530" w:hanging="180"/>
      </w:pPr>
    </w:lvl>
    <w:lvl w:ilvl="6" w:tplc="0816000F" w:tentative="1">
      <w:start w:val="1"/>
      <w:numFmt w:val="decimal"/>
      <w:lvlText w:val="%7."/>
      <w:lvlJc w:val="left"/>
      <w:pPr>
        <w:ind w:left="5250" w:hanging="360"/>
      </w:pPr>
    </w:lvl>
    <w:lvl w:ilvl="7" w:tplc="08160019" w:tentative="1">
      <w:start w:val="1"/>
      <w:numFmt w:val="lowerLetter"/>
      <w:lvlText w:val="%8."/>
      <w:lvlJc w:val="left"/>
      <w:pPr>
        <w:ind w:left="5970" w:hanging="360"/>
      </w:pPr>
    </w:lvl>
    <w:lvl w:ilvl="8" w:tplc="0816001B" w:tentative="1">
      <w:start w:val="1"/>
      <w:numFmt w:val="lowerRoman"/>
      <w:lvlText w:val="%9."/>
      <w:lvlJc w:val="right"/>
      <w:pPr>
        <w:ind w:left="6690" w:hanging="180"/>
      </w:pPr>
    </w:lvl>
  </w:abstractNum>
  <w:abstractNum w:abstractNumId="22">
    <w:nsid w:val="6E160951"/>
    <w:multiLevelType w:val="hybridMultilevel"/>
    <w:tmpl w:val="4D5E77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71FD40D4"/>
    <w:multiLevelType w:val="multilevel"/>
    <w:tmpl w:val="8538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5C5C26"/>
    <w:multiLevelType w:val="multilevel"/>
    <w:tmpl w:val="D804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7"/>
  </w:num>
  <w:num w:numId="3">
    <w:abstractNumId w:val="10"/>
  </w:num>
  <w:num w:numId="4">
    <w:abstractNumId w:val="13"/>
  </w:num>
  <w:num w:numId="5">
    <w:abstractNumId w:val="18"/>
  </w:num>
  <w:num w:numId="6">
    <w:abstractNumId w:val="5"/>
  </w:num>
  <w:num w:numId="7">
    <w:abstractNumId w:val="9"/>
  </w:num>
  <w:num w:numId="8">
    <w:abstractNumId w:val="11"/>
  </w:num>
  <w:num w:numId="9">
    <w:abstractNumId w:val="1"/>
  </w:num>
  <w:num w:numId="10">
    <w:abstractNumId w:val="8"/>
  </w:num>
  <w:num w:numId="11">
    <w:abstractNumId w:val="20"/>
  </w:num>
  <w:num w:numId="12">
    <w:abstractNumId w:val="6"/>
  </w:num>
  <w:num w:numId="13">
    <w:abstractNumId w:val="2"/>
  </w:num>
  <w:num w:numId="14">
    <w:abstractNumId w:val="3"/>
  </w:num>
  <w:num w:numId="15">
    <w:abstractNumId w:val="12"/>
  </w:num>
  <w:num w:numId="16">
    <w:abstractNumId w:val="14"/>
  </w:num>
  <w:num w:numId="17">
    <w:abstractNumId w:val="24"/>
  </w:num>
  <w:num w:numId="18">
    <w:abstractNumId w:val="19"/>
  </w:num>
  <w:num w:numId="19">
    <w:abstractNumId w:val="4"/>
  </w:num>
  <w:num w:numId="20">
    <w:abstractNumId w:val="16"/>
  </w:num>
  <w:num w:numId="21">
    <w:abstractNumId w:val="0"/>
  </w:num>
  <w:num w:numId="22">
    <w:abstractNumId w:val="17"/>
  </w:num>
  <w:num w:numId="23">
    <w:abstractNumId w:val="15"/>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31"/>
    <w:rsid w:val="00013439"/>
    <w:rsid w:val="0003189A"/>
    <w:rsid w:val="00305D31"/>
    <w:rsid w:val="00592277"/>
    <w:rsid w:val="0061652C"/>
    <w:rsid w:val="0069206F"/>
    <w:rsid w:val="0071131A"/>
    <w:rsid w:val="00722623"/>
    <w:rsid w:val="007C6673"/>
    <w:rsid w:val="008D2CDF"/>
    <w:rsid w:val="00A023F9"/>
    <w:rsid w:val="00BA415B"/>
    <w:rsid w:val="00C44F56"/>
    <w:rsid w:val="00D109D9"/>
    <w:rsid w:val="00D4646F"/>
    <w:rsid w:val="00E84F74"/>
    <w:rsid w:val="00EB0390"/>
    <w:rsid w:val="00EB482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2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05D3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Fontepargpadro"/>
    <w:uiPriority w:val="22"/>
    <w:qFormat/>
    <w:rsid w:val="00305D31"/>
    <w:rPr>
      <w:b/>
      <w:bCs/>
    </w:rPr>
  </w:style>
  <w:style w:type="character" w:customStyle="1" w:styleId="apple-converted-space">
    <w:name w:val="apple-converted-space"/>
    <w:basedOn w:val="Fontepargpadro"/>
    <w:rsid w:val="00D109D9"/>
  </w:style>
  <w:style w:type="character" w:styleId="Hyperlink">
    <w:name w:val="Hyperlink"/>
    <w:basedOn w:val="Fontepargpadro"/>
    <w:uiPriority w:val="99"/>
    <w:semiHidden/>
    <w:unhideWhenUsed/>
    <w:rsid w:val="00D109D9"/>
    <w:rPr>
      <w:color w:val="0000FF"/>
      <w:u w:val="single"/>
    </w:rPr>
  </w:style>
  <w:style w:type="paragraph" w:styleId="PargrafodaLista">
    <w:name w:val="List Paragraph"/>
    <w:basedOn w:val="Normal"/>
    <w:uiPriority w:val="34"/>
    <w:qFormat/>
    <w:rsid w:val="00616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2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05D3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Fontepargpadro"/>
    <w:uiPriority w:val="22"/>
    <w:qFormat/>
    <w:rsid w:val="00305D31"/>
    <w:rPr>
      <w:b/>
      <w:bCs/>
    </w:rPr>
  </w:style>
  <w:style w:type="character" w:customStyle="1" w:styleId="apple-converted-space">
    <w:name w:val="apple-converted-space"/>
    <w:basedOn w:val="Fontepargpadro"/>
    <w:rsid w:val="00D109D9"/>
  </w:style>
  <w:style w:type="character" w:styleId="Hyperlink">
    <w:name w:val="Hyperlink"/>
    <w:basedOn w:val="Fontepargpadro"/>
    <w:uiPriority w:val="99"/>
    <w:semiHidden/>
    <w:unhideWhenUsed/>
    <w:rsid w:val="00D109D9"/>
    <w:rPr>
      <w:color w:val="0000FF"/>
      <w:u w:val="single"/>
    </w:rPr>
  </w:style>
  <w:style w:type="paragraph" w:styleId="PargrafodaLista">
    <w:name w:val="List Paragraph"/>
    <w:basedOn w:val="Normal"/>
    <w:uiPriority w:val="34"/>
    <w:qFormat/>
    <w:rsid w:val="00616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0082">
      <w:bodyDiv w:val="1"/>
      <w:marLeft w:val="0"/>
      <w:marRight w:val="0"/>
      <w:marTop w:val="0"/>
      <w:marBottom w:val="0"/>
      <w:divBdr>
        <w:top w:val="none" w:sz="0" w:space="0" w:color="auto"/>
        <w:left w:val="none" w:sz="0" w:space="0" w:color="auto"/>
        <w:bottom w:val="none" w:sz="0" w:space="0" w:color="auto"/>
        <w:right w:val="none" w:sz="0" w:space="0" w:color="auto"/>
      </w:divBdr>
    </w:div>
    <w:div w:id="290748794">
      <w:bodyDiv w:val="1"/>
      <w:marLeft w:val="0"/>
      <w:marRight w:val="0"/>
      <w:marTop w:val="0"/>
      <w:marBottom w:val="0"/>
      <w:divBdr>
        <w:top w:val="none" w:sz="0" w:space="0" w:color="auto"/>
        <w:left w:val="none" w:sz="0" w:space="0" w:color="auto"/>
        <w:bottom w:val="none" w:sz="0" w:space="0" w:color="auto"/>
        <w:right w:val="none" w:sz="0" w:space="0" w:color="auto"/>
      </w:divBdr>
    </w:div>
    <w:div w:id="377826267">
      <w:bodyDiv w:val="1"/>
      <w:marLeft w:val="0"/>
      <w:marRight w:val="0"/>
      <w:marTop w:val="0"/>
      <w:marBottom w:val="0"/>
      <w:divBdr>
        <w:top w:val="none" w:sz="0" w:space="0" w:color="auto"/>
        <w:left w:val="none" w:sz="0" w:space="0" w:color="auto"/>
        <w:bottom w:val="none" w:sz="0" w:space="0" w:color="auto"/>
        <w:right w:val="none" w:sz="0" w:space="0" w:color="auto"/>
      </w:divBdr>
    </w:div>
    <w:div w:id="685209808">
      <w:bodyDiv w:val="1"/>
      <w:marLeft w:val="0"/>
      <w:marRight w:val="0"/>
      <w:marTop w:val="0"/>
      <w:marBottom w:val="0"/>
      <w:divBdr>
        <w:top w:val="none" w:sz="0" w:space="0" w:color="auto"/>
        <w:left w:val="none" w:sz="0" w:space="0" w:color="auto"/>
        <w:bottom w:val="none" w:sz="0" w:space="0" w:color="auto"/>
        <w:right w:val="none" w:sz="0" w:space="0" w:color="auto"/>
      </w:divBdr>
    </w:div>
    <w:div w:id="764809788">
      <w:bodyDiv w:val="1"/>
      <w:marLeft w:val="0"/>
      <w:marRight w:val="0"/>
      <w:marTop w:val="0"/>
      <w:marBottom w:val="0"/>
      <w:divBdr>
        <w:top w:val="none" w:sz="0" w:space="0" w:color="auto"/>
        <w:left w:val="none" w:sz="0" w:space="0" w:color="auto"/>
        <w:bottom w:val="none" w:sz="0" w:space="0" w:color="auto"/>
        <w:right w:val="none" w:sz="0" w:space="0" w:color="auto"/>
      </w:divBdr>
    </w:div>
    <w:div w:id="1166945353">
      <w:bodyDiv w:val="1"/>
      <w:marLeft w:val="0"/>
      <w:marRight w:val="0"/>
      <w:marTop w:val="0"/>
      <w:marBottom w:val="0"/>
      <w:divBdr>
        <w:top w:val="none" w:sz="0" w:space="0" w:color="auto"/>
        <w:left w:val="none" w:sz="0" w:space="0" w:color="auto"/>
        <w:bottom w:val="none" w:sz="0" w:space="0" w:color="auto"/>
        <w:right w:val="none" w:sz="0" w:space="0" w:color="auto"/>
      </w:divBdr>
    </w:div>
    <w:div w:id="1273393565">
      <w:bodyDiv w:val="1"/>
      <w:marLeft w:val="0"/>
      <w:marRight w:val="0"/>
      <w:marTop w:val="0"/>
      <w:marBottom w:val="0"/>
      <w:divBdr>
        <w:top w:val="none" w:sz="0" w:space="0" w:color="auto"/>
        <w:left w:val="none" w:sz="0" w:space="0" w:color="auto"/>
        <w:bottom w:val="none" w:sz="0" w:space="0" w:color="auto"/>
        <w:right w:val="none" w:sz="0" w:space="0" w:color="auto"/>
      </w:divBdr>
    </w:div>
    <w:div w:id="1417903020">
      <w:bodyDiv w:val="1"/>
      <w:marLeft w:val="0"/>
      <w:marRight w:val="0"/>
      <w:marTop w:val="0"/>
      <w:marBottom w:val="0"/>
      <w:divBdr>
        <w:top w:val="none" w:sz="0" w:space="0" w:color="auto"/>
        <w:left w:val="none" w:sz="0" w:space="0" w:color="auto"/>
        <w:bottom w:val="none" w:sz="0" w:space="0" w:color="auto"/>
        <w:right w:val="none" w:sz="0" w:space="0" w:color="auto"/>
      </w:divBdr>
    </w:div>
    <w:div w:id="1435439469">
      <w:bodyDiv w:val="1"/>
      <w:marLeft w:val="0"/>
      <w:marRight w:val="0"/>
      <w:marTop w:val="0"/>
      <w:marBottom w:val="0"/>
      <w:divBdr>
        <w:top w:val="none" w:sz="0" w:space="0" w:color="auto"/>
        <w:left w:val="none" w:sz="0" w:space="0" w:color="auto"/>
        <w:bottom w:val="none" w:sz="0" w:space="0" w:color="auto"/>
        <w:right w:val="none" w:sz="0" w:space="0" w:color="auto"/>
      </w:divBdr>
    </w:div>
    <w:div w:id="1558972250">
      <w:bodyDiv w:val="1"/>
      <w:marLeft w:val="0"/>
      <w:marRight w:val="0"/>
      <w:marTop w:val="0"/>
      <w:marBottom w:val="0"/>
      <w:divBdr>
        <w:top w:val="none" w:sz="0" w:space="0" w:color="auto"/>
        <w:left w:val="none" w:sz="0" w:space="0" w:color="auto"/>
        <w:bottom w:val="none" w:sz="0" w:space="0" w:color="auto"/>
        <w:right w:val="none" w:sz="0" w:space="0" w:color="auto"/>
      </w:divBdr>
    </w:div>
    <w:div w:id="1769039853">
      <w:bodyDiv w:val="1"/>
      <w:marLeft w:val="0"/>
      <w:marRight w:val="0"/>
      <w:marTop w:val="0"/>
      <w:marBottom w:val="0"/>
      <w:divBdr>
        <w:top w:val="none" w:sz="0" w:space="0" w:color="auto"/>
        <w:left w:val="none" w:sz="0" w:space="0" w:color="auto"/>
        <w:bottom w:val="none" w:sz="0" w:space="0" w:color="auto"/>
        <w:right w:val="none" w:sz="0" w:space="0" w:color="auto"/>
      </w:divBdr>
    </w:div>
    <w:div w:id="1859538426">
      <w:bodyDiv w:val="1"/>
      <w:marLeft w:val="0"/>
      <w:marRight w:val="0"/>
      <w:marTop w:val="0"/>
      <w:marBottom w:val="0"/>
      <w:divBdr>
        <w:top w:val="none" w:sz="0" w:space="0" w:color="auto"/>
        <w:left w:val="none" w:sz="0" w:space="0" w:color="auto"/>
        <w:bottom w:val="none" w:sz="0" w:space="0" w:color="auto"/>
        <w:right w:val="none" w:sz="0" w:space="0" w:color="auto"/>
      </w:divBdr>
    </w:div>
    <w:div w:id="19969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pitangui.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Registro</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Cartório</dc:creator>
  <cp:lastModifiedBy>Cartório</cp:lastModifiedBy>
  <cp:revision>3</cp:revision>
  <dcterms:created xsi:type="dcterms:W3CDTF">2014-11-04T19:47:00Z</dcterms:created>
  <dcterms:modified xsi:type="dcterms:W3CDTF">2014-11-04T19:49:00Z</dcterms:modified>
</cp:coreProperties>
</file>